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27429" w14:textId="3A5DAF35" w:rsidR="00912C62" w:rsidRPr="00751BD7" w:rsidRDefault="00912C62" w:rsidP="00912C62">
      <w:pPr>
        <w:rPr>
          <w:rFonts w:ascii="Arial" w:eastAsia="MS Mincho" w:hAnsi="Arial"/>
          <w:b/>
          <w:bCs/>
          <w:sz w:val="24"/>
          <w:szCs w:val="24"/>
          <w:lang w:eastAsia="x-none"/>
        </w:rPr>
      </w:pPr>
      <w:r w:rsidRPr="243B3237">
        <w:rPr>
          <w:rFonts w:ascii="Arial" w:eastAsia="MS Mincho" w:hAnsi="Arial"/>
          <w:b/>
          <w:bCs/>
          <w:sz w:val="24"/>
          <w:szCs w:val="24"/>
        </w:rPr>
        <w:t>3GPP TSG RAN WG2 Meeting #11</w:t>
      </w:r>
      <w:r>
        <w:rPr>
          <w:rFonts w:ascii="Arial" w:eastAsia="MS Mincho" w:hAnsi="Arial"/>
          <w:b/>
          <w:bCs/>
          <w:sz w:val="24"/>
          <w:szCs w:val="24"/>
        </w:rPr>
        <w:t>9-</w:t>
      </w:r>
      <w:r w:rsidRPr="243B3237">
        <w:rPr>
          <w:rFonts w:ascii="Arial" w:eastAsia="MS Mincho" w:hAnsi="Arial"/>
          <w:b/>
          <w:bCs/>
          <w:sz w:val="24"/>
          <w:szCs w:val="24"/>
        </w:rPr>
        <w:t xml:space="preserve">e           </w:t>
      </w:r>
      <w:r>
        <w:tab/>
      </w:r>
      <w:r>
        <w:tab/>
      </w:r>
      <w:r w:rsidRPr="243B3237">
        <w:rPr>
          <w:rFonts w:ascii="Arial" w:eastAsia="MS Mincho" w:hAnsi="Arial"/>
          <w:b/>
          <w:bCs/>
          <w:sz w:val="24"/>
          <w:szCs w:val="24"/>
        </w:rPr>
        <w:t xml:space="preserve">      </w:t>
      </w:r>
      <w:r>
        <w:tab/>
        <w:t xml:space="preserve">            </w:t>
      </w:r>
      <w:r w:rsidRPr="243B3237">
        <w:rPr>
          <w:rFonts w:ascii="Arial" w:eastAsia="MS Mincho" w:hAnsi="Arial"/>
          <w:b/>
          <w:bCs/>
          <w:sz w:val="24"/>
          <w:szCs w:val="24"/>
        </w:rPr>
        <w:t xml:space="preserve">    </w:t>
      </w:r>
      <w:r>
        <w:tab/>
      </w:r>
      <w:r w:rsidR="008A30D2" w:rsidRPr="008A30D2">
        <w:rPr>
          <w:rFonts w:ascii="Arial" w:eastAsia="MS Mincho" w:hAnsi="Arial"/>
          <w:b/>
          <w:bCs/>
          <w:sz w:val="24"/>
          <w:szCs w:val="24"/>
        </w:rPr>
        <w:t>R2-2207122</w:t>
      </w:r>
    </w:p>
    <w:p w14:paraId="180F4055" w14:textId="77777777" w:rsidR="00912C62" w:rsidRDefault="00912C62" w:rsidP="00912C62">
      <w:pPr>
        <w:pStyle w:val="3GPPHeader"/>
        <w:jc w:val="right"/>
        <w:rPr>
          <w:rFonts w:eastAsia="MS Mincho"/>
          <w:lang w:eastAsia="x-none"/>
        </w:rPr>
      </w:pPr>
      <w:r w:rsidRPr="4FCD8439">
        <w:rPr>
          <w:rFonts w:eastAsia="MS Mincho"/>
        </w:rPr>
        <w:t>Electronic meeting,</w:t>
      </w:r>
      <w:r>
        <w:rPr>
          <w:rFonts w:eastAsia="MS Mincho"/>
        </w:rPr>
        <w:t xml:space="preserve"> 17</w:t>
      </w:r>
      <w:r w:rsidRPr="00FA28FA">
        <w:rPr>
          <w:rFonts w:eastAsia="MS Mincho"/>
          <w:vertAlign w:val="superscript"/>
        </w:rPr>
        <w:t>th</w:t>
      </w:r>
      <w:r>
        <w:rPr>
          <w:rFonts w:eastAsia="MS Mincho"/>
        </w:rPr>
        <w:t xml:space="preserve"> </w:t>
      </w:r>
      <w:r w:rsidRPr="4FCD8439">
        <w:rPr>
          <w:rFonts w:eastAsia="MS Mincho"/>
        </w:rPr>
        <w:t xml:space="preserve">– </w:t>
      </w:r>
      <w:r>
        <w:rPr>
          <w:rFonts w:eastAsia="MS Mincho"/>
        </w:rPr>
        <w:t>26</w:t>
      </w:r>
      <w:r w:rsidRPr="006B401E">
        <w:rPr>
          <w:rFonts w:eastAsia="MS Mincho"/>
          <w:vertAlign w:val="superscript"/>
        </w:rPr>
        <w:t>th</w:t>
      </w:r>
      <w:r>
        <w:rPr>
          <w:rFonts w:eastAsia="MS Mincho"/>
        </w:rPr>
        <w:t xml:space="preserve"> Aug, 2022</w:t>
      </w:r>
      <w:r w:rsidRPr="4FCD8439">
        <w:rPr>
          <w:rFonts w:eastAsia="MS Mincho"/>
        </w:rPr>
        <w:t xml:space="preserve">     </w:t>
      </w:r>
      <w:r>
        <w:tab/>
      </w:r>
    </w:p>
    <w:p w14:paraId="1C23C50A" w14:textId="7E107E39" w:rsidR="00912C62" w:rsidRPr="005E43A7" w:rsidRDefault="00912C62" w:rsidP="00912C62">
      <w:pPr>
        <w:pStyle w:val="3GPPHeader"/>
        <w:rPr>
          <w:rFonts w:eastAsia="MS Mincho"/>
          <w:szCs w:val="24"/>
          <w:lang w:eastAsia="x-none"/>
        </w:rPr>
      </w:pPr>
      <w:r w:rsidRPr="007730BD">
        <w:rPr>
          <w:sz w:val="22"/>
          <w:szCs w:val="22"/>
          <w:lang w:val="sv-SE"/>
        </w:rPr>
        <w:t>Agenda Item:</w:t>
      </w:r>
      <w:r w:rsidRPr="007730BD">
        <w:rPr>
          <w:sz w:val="22"/>
          <w:szCs w:val="22"/>
          <w:lang w:val="sv-SE"/>
        </w:rPr>
        <w:tab/>
      </w:r>
      <w:r>
        <w:rPr>
          <w:sz w:val="22"/>
          <w:szCs w:val="22"/>
          <w:lang w:val="sv-SE"/>
        </w:rPr>
        <w:t>8.12.</w:t>
      </w:r>
      <w:r w:rsidR="00A740CC">
        <w:rPr>
          <w:sz w:val="22"/>
          <w:szCs w:val="22"/>
          <w:lang w:val="sv-SE"/>
        </w:rPr>
        <w:t>3</w:t>
      </w:r>
    </w:p>
    <w:p w14:paraId="234AC10A" w14:textId="77777777" w:rsidR="00912C62" w:rsidRPr="00CE0424" w:rsidRDefault="00912C62" w:rsidP="00912C62">
      <w:pPr>
        <w:pStyle w:val="3GPPHeader"/>
        <w:rPr>
          <w:sz w:val="22"/>
          <w:szCs w:val="22"/>
        </w:rPr>
      </w:pPr>
      <w:r>
        <w:rPr>
          <w:sz w:val="22"/>
          <w:szCs w:val="22"/>
        </w:rPr>
        <w:t>Source:</w:t>
      </w:r>
      <w:r w:rsidRPr="00CE0424">
        <w:rPr>
          <w:sz w:val="22"/>
          <w:szCs w:val="22"/>
        </w:rPr>
        <w:tab/>
      </w:r>
      <w:r>
        <w:rPr>
          <w:sz w:val="22"/>
          <w:szCs w:val="22"/>
        </w:rPr>
        <w:t>Intel Corporation</w:t>
      </w:r>
    </w:p>
    <w:p w14:paraId="05DC5D26" w14:textId="4AF5C4DD" w:rsidR="00912C62" w:rsidRPr="00CE0424" w:rsidRDefault="00912C62" w:rsidP="00912C62">
      <w:pPr>
        <w:pStyle w:val="3GPPHeader"/>
        <w:rPr>
          <w:sz w:val="22"/>
          <w:szCs w:val="22"/>
        </w:rPr>
      </w:pPr>
      <w:r>
        <w:rPr>
          <w:sz w:val="22"/>
          <w:szCs w:val="22"/>
        </w:rPr>
        <w:t>Title:</w:t>
      </w:r>
      <w:r>
        <w:rPr>
          <w:sz w:val="22"/>
          <w:szCs w:val="22"/>
        </w:rPr>
        <w:tab/>
      </w:r>
      <w:r w:rsidR="006E73A1">
        <w:rPr>
          <w:sz w:val="22"/>
          <w:szCs w:val="22"/>
        </w:rPr>
        <w:t xml:space="preserve">Discussion on </w:t>
      </w:r>
      <w:r w:rsidR="009C42F3">
        <w:rPr>
          <w:sz w:val="22"/>
          <w:szCs w:val="22"/>
        </w:rPr>
        <w:t xml:space="preserve">Migration and </w:t>
      </w:r>
      <w:r w:rsidR="000F68ED">
        <w:rPr>
          <w:sz w:val="22"/>
          <w:szCs w:val="22"/>
        </w:rPr>
        <w:t>PCI</w:t>
      </w:r>
      <w:r w:rsidR="00C768DE">
        <w:rPr>
          <w:sz w:val="22"/>
          <w:szCs w:val="22"/>
        </w:rPr>
        <w:t xml:space="preserve"> handling of mobile IAB-node</w:t>
      </w:r>
    </w:p>
    <w:p w14:paraId="71EE3D57" w14:textId="77777777" w:rsidR="00912C62" w:rsidRDefault="00912C62" w:rsidP="00912C62">
      <w:pPr>
        <w:pStyle w:val="3GPPHeader"/>
        <w:pBdr>
          <w:bottom w:val="single" w:sz="6" w:space="1" w:color="auto"/>
        </w:pBdr>
        <w:rPr>
          <w:sz w:val="22"/>
          <w:szCs w:val="22"/>
        </w:rPr>
      </w:pPr>
      <w:r w:rsidRPr="00CE0424">
        <w:rPr>
          <w:sz w:val="22"/>
          <w:szCs w:val="22"/>
        </w:rPr>
        <w:t>Document for:</w:t>
      </w:r>
      <w:r w:rsidRPr="00CE0424">
        <w:rPr>
          <w:sz w:val="22"/>
          <w:szCs w:val="22"/>
        </w:rPr>
        <w:tab/>
      </w:r>
      <w:r>
        <w:rPr>
          <w:sz w:val="22"/>
          <w:szCs w:val="22"/>
        </w:rPr>
        <w:t>Discussion and Decision</w:t>
      </w:r>
    </w:p>
    <w:p w14:paraId="52C70642" w14:textId="77777777" w:rsidR="00017FC6" w:rsidRDefault="00017FC6" w:rsidP="00017FC6">
      <w:pPr>
        <w:pStyle w:val="Heading1"/>
      </w:pPr>
      <w:r w:rsidRPr="004E0304">
        <w:rPr>
          <w:rFonts w:cs="Times New Roman"/>
          <w:lang w:val="en-US"/>
        </w:rPr>
        <w:t>Introduction</w:t>
      </w:r>
    </w:p>
    <w:p w14:paraId="3847F5A2" w14:textId="04A9EDF2" w:rsidR="00017FC6" w:rsidRPr="00C7161D" w:rsidRDefault="00C7161D" w:rsidP="00017FC6">
      <w:r>
        <w:t xml:space="preserve">In the WID of mobile IAB, following </w:t>
      </w:r>
      <w:r w:rsidR="00FA5909">
        <w:t>objective</w:t>
      </w:r>
      <w:r>
        <w:t xml:space="preserve"> </w:t>
      </w:r>
      <w:r w:rsidR="005B03C4">
        <w:t>is identified to be studied</w:t>
      </w:r>
      <w:r>
        <w:t>:</w:t>
      </w:r>
    </w:p>
    <w:tbl>
      <w:tblPr>
        <w:tblStyle w:val="TableGrid"/>
        <w:tblW w:w="0" w:type="auto"/>
        <w:tblLook w:val="04A0" w:firstRow="1" w:lastRow="0" w:firstColumn="1" w:lastColumn="0" w:noHBand="0" w:noVBand="1"/>
      </w:tblPr>
      <w:tblGrid>
        <w:gridCol w:w="9350"/>
      </w:tblGrid>
      <w:tr w:rsidR="00017FC6" w14:paraId="1CB01642" w14:textId="77777777" w:rsidTr="00315F5E">
        <w:tc>
          <w:tcPr>
            <w:tcW w:w="9350" w:type="dxa"/>
          </w:tcPr>
          <w:p w14:paraId="70A59E20" w14:textId="504B3C2B" w:rsidR="00017FC6" w:rsidRPr="00025E78" w:rsidRDefault="00684D85" w:rsidP="004170DD">
            <w:pPr>
              <w:pStyle w:val="maintext"/>
              <w:spacing w:line="240" w:lineRule="auto"/>
              <w:ind w:firstLineChars="0" w:firstLine="0"/>
              <w:rPr>
                <w:rFonts w:eastAsia="Times New Roman" w:cs="Times New Roman"/>
                <w:lang w:eastAsia="en-US"/>
              </w:rPr>
            </w:pPr>
            <w:r w:rsidRPr="00684D85">
              <w:rPr>
                <w:rFonts w:ascii="Times New Roman" w:eastAsia="SimSun" w:hAnsi="Times New Roman" w:cs="Times New Roman"/>
                <w:sz w:val="20"/>
                <w:szCs w:val="20"/>
                <w:lang w:eastAsia="en-US"/>
              </w:rPr>
              <w:t>Define Procedures for migration/topology adaptation to enable IAB-node mobility, including inter-donor migration of the entire mobile IAB-node (full migration) [RAN3, RAN2]</w:t>
            </w:r>
          </w:p>
        </w:tc>
      </w:tr>
    </w:tbl>
    <w:p w14:paraId="2A52935B" w14:textId="483BC1E8" w:rsidR="00017FC6" w:rsidRDefault="00C7161D" w:rsidP="00322633">
      <w:pPr>
        <w:spacing w:before="240"/>
      </w:pPr>
      <w:r>
        <w:t xml:space="preserve">Moreover, </w:t>
      </w:r>
      <w:r w:rsidR="00B1685C">
        <w:t>PCI handling of the mobile IAB-node is also within the scope:</w:t>
      </w:r>
    </w:p>
    <w:tbl>
      <w:tblPr>
        <w:tblStyle w:val="TableGrid"/>
        <w:tblW w:w="0" w:type="auto"/>
        <w:tblLook w:val="04A0" w:firstRow="1" w:lastRow="0" w:firstColumn="1" w:lastColumn="0" w:noHBand="0" w:noVBand="1"/>
      </w:tblPr>
      <w:tblGrid>
        <w:gridCol w:w="9350"/>
      </w:tblGrid>
      <w:tr w:rsidR="00B1685C" w14:paraId="1A27DA6B" w14:textId="77777777" w:rsidTr="00B1685C">
        <w:tc>
          <w:tcPr>
            <w:tcW w:w="9350" w:type="dxa"/>
          </w:tcPr>
          <w:p w14:paraId="5990916D" w14:textId="05F2E9DB" w:rsidR="00B1685C" w:rsidRDefault="00B1685C" w:rsidP="0008391E">
            <w:pPr>
              <w:pStyle w:val="maintext"/>
              <w:spacing w:line="240" w:lineRule="auto"/>
              <w:ind w:firstLineChars="0" w:firstLine="0"/>
            </w:pPr>
            <w:r w:rsidRPr="0008391E">
              <w:rPr>
                <w:rFonts w:ascii="Times New Roman" w:eastAsia="SimSun" w:hAnsi="Times New Roman" w:cs="Times New Roman"/>
                <w:sz w:val="20"/>
                <w:szCs w:val="20"/>
                <w:lang w:eastAsia="en-US"/>
              </w:rPr>
              <w:t>Mitigation of interference due to IAB-node mobility, including the avoidance of potential reference and control signal collisions (e.g. PCI, RACH). [RAN3, RAN2].</w:t>
            </w:r>
          </w:p>
        </w:tc>
      </w:tr>
    </w:tbl>
    <w:p w14:paraId="305A49E3" w14:textId="274C60EA" w:rsidR="00025E78" w:rsidRDefault="00025E78" w:rsidP="00017FC6">
      <w:r>
        <w:t xml:space="preserve">In this contribution, we </w:t>
      </w:r>
      <w:r w:rsidR="00B1685C">
        <w:t xml:space="preserve">first discuss the </w:t>
      </w:r>
      <w:r w:rsidR="00684D85">
        <w:t>potential RAN2 impact for inter-donor full migration</w:t>
      </w:r>
      <w:r w:rsidR="00673A47">
        <w:t>, then discuss the assumption of how to handle PCI of mobile IAB-node</w:t>
      </w:r>
      <w:r w:rsidR="008D1D22">
        <w:t xml:space="preserve"> to avoid negative impact to group mobility of served UEs.</w:t>
      </w:r>
      <w:r w:rsidR="00867F3C">
        <w:t xml:space="preserve"> </w:t>
      </w:r>
    </w:p>
    <w:p w14:paraId="3CEBD86F" w14:textId="77777777" w:rsidR="00017FC6" w:rsidRDefault="00017FC6" w:rsidP="00017FC6">
      <w:pPr>
        <w:pStyle w:val="Heading1"/>
        <w:rPr>
          <w:rFonts w:eastAsia="SimSun" w:cs="Times New Roman"/>
          <w:lang w:val="en-US" w:eastAsia="zh-CN"/>
        </w:rPr>
      </w:pPr>
      <w:r w:rsidRPr="004E0304">
        <w:rPr>
          <w:rFonts w:eastAsia="SimSun" w:cs="Times New Roman"/>
          <w:lang w:val="en-US" w:eastAsia="zh-CN"/>
        </w:rPr>
        <w:t>Discussion</w:t>
      </w:r>
    </w:p>
    <w:p w14:paraId="4D4A0F3E" w14:textId="48593067" w:rsidR="00017FC6" w:rsidRDefault="008B0F44" w:rsidP="00867F3C">
      <w:pPr>
        <w:pStyle w:val="Heading2"/>
        <w:rPr>
          <w:lang w:eastAsia="zh-CN"/>
        </w:rPr>
      </w:pPr>
      <w:bookmarkStart w:id="0" w:name="P3"/>
      <w:r>
        <w:rPr>
          <w:lang w:eastAsia="zh-CN"/>
        </w:rPr>
        <w:t>Full Migration RAN2 Impact</w:t>
      </w:r>
    </w:p>
    <w:p w14:paraId="0EAC514A" w14:textId="587D4ECE" w:rsidR="00B85CBB" w:rsidRDefault="002A7DDB" w:rsidP="00B85CBB">
      <w:pPr>
        <w:pStyle w:val="Heading3"/>
        <w:rPr>
          <w:lang w:eastAsia="zh-CN"/>
        </w:rPr>
      </w:pPr>
      <w:r>
        <w:rPr>
          <w:lang w:eastAsia="zh-CN"/>
        </w:rPr>
        <w:t xml:space="preserve">Full Migration </w:t>
      </w:r>
      <w:r w:rsidR="00B85CBB">
        <w:rPr>
          <w:lang w:eastAsia="zh-CN"/>
        </w:rPr>
        <w:t>Mobility Scenario of mobile IAB-node</w:t>
      </w:r>
    </w:p>
    <w:p w14:paraId="186FE166" w14:textId="77777777" w:rsidR="001108E5" w:rsidRDefault="001108E5" w:rsidP="00ED0781">
      <w:pPr>
        <w:rPr>
          <w:lang w:val="en-GB" w:eastAsia="zh-CN"/>
        </w:rPr>
      </w:pPr>
    </w:p>
    <w:p w14:paraId="534D02F6" w14:textId="09B92E8C" w:rsidR="001108E5" w:rsidRDefault="00273FDC" w:rsidP="001108E5">
      <w:pPr>
        <w:keepNext/>
        <w:jc w:val="center"/>
      </w:pPr>
      <w:r>
        <w:object w:dxaOrig="12361" w:dyaOrig="10081" w14:anchorId="0D2158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pt;height:191.25pt" o:ole="">
            <v:imagedata r:id="rId11" o:title=""/>
          </v:shape>
          <o:OLEObject Type="Embed" ProgID="Visio.Drawing.15" ShapeID="_x0000_i1025" DrawAspect="Content" ObjectID="_1721508006" r:id="rId12"/>
        </w:object>
      </w:r>
    </w:p>
    <w:p w14:paraId="4C7776C0" w14:textId="77777777" w:rsidR="001108E5" w:rsidRPr="00DD1296" w:rsidRDefault="001108E5" w:rsidP="001108E5">
      <w:pPr>
        <w:pStyle w:val="Caption"/>
        <w:jc w:val="center"/>
        <w:rPr>
          <w:b/>
          <w:bCs/>
        </w:rPr>
      </w:pPr>
      <w:r w:rsidRPr="00DD1296">
        <w:rPr>
          <w:bCs/>
        </w:rPr>
        <w:t xml:space="preserve">Figure </w:t>
      </w:r>
      <w:r w:rsidRPr="002A7DDB">
        <w:t>1.</w:t>
      </w:r>
      <w:r w:rsidRPr="00DD1296">
        <w:rPr>
          <w:bCs/>
        </w:rPr>
        <w:t xml:space="preserve"> Mobility Scenario of mobile IAB-node</w:t>
      </w:r>
    </w:p>
    <w:p w14:paraId="4415A32A" w14:textId="77777777" w:rsidR="001108E5" w:rsidRDefault="001108E5" w:rsidP="00ED0781">
      <w:pPr>
        <w:rPr>
          <w:lang w:val="en-GB" w:eastAsia="zh-CN"/>
        </w:rPr>
      </w:pPr>
    </w:p>
    <w:p w14:paraId="24A87685" w14:textId="1726BC61" w:rsidR="00ED0781" w:rsidRDefault="005872A5" w:rsidP="00ED0781">
      <w:pPr>
        <w:rPr>
          <w:lang w:val="en-GB" w:eastAsia="zh-CN"/>
        </w:rPr>
      </w:pPr>
      <w:r>
        <w:rPr>
          <w:lang w:val="en-GB" w:eastAsia="zh-CN"/>
        </w:rPr>
        <w:t>When the mobile IAB-node moves around, there are two possibilities for the mobile IAB-node to perform migration.</w:t>
      </w:r>
    </w:p>
    <w:p w14:paraId="32A2F506" w14:textId="5B5D4838" w:rsidR="00ED0781" w:rsidRDefault="00ED0781" w:rsidP="00ED0781">
      <w:pPr>
        <w:rPr>
          <w:lang w:val="en-GB" w:eastAsia="zh-CN"/>
        </w:rPr>
      </w:pPr>
      <w:r>
        <w:rPr>
          <w:lang w:val="en-GB" w:eastAsia="zh-CN"/>
        </w:rPr>
        <w:t>1) intra-donor CU migration</w:t>
      </w:r>
    </w:p>
    <w:p w14:paraId="309EAEBD" w14:textId="3211265D" w:rsidR="00ED0781" w:rsidRDefault="00A960A3" w:rsidP="00ED0781">
      <w:pPr>
        <w:rPr>
          <w:lang w:val="en-GB" w:eastAsia="zh-CN"/>
        </w:rPr>
      </w:pPr>
      <w:r>
        <w:rPr>
          <w:lang w:val="en-GB" w:eastAsia="zh-CN"/>
        </w:rPr>
        <w:t xml:space="preserve">The source IAB-donor CU may select another IAB-node </w:t>
      </w:r>
      <w:r w:rsidR="007D6FE6">
        <w:rPr>
          <w:lang w:val="en-GB" w:eastAsia="zh-CN"/>
        </w:rPr>
        <w:t xml:space="preserve">connected to the same CU </w:t>
      </w:r>
      <w:r>
        <w:rPr>
          <w:lang w:val="en-GB" w:eastAsia="zh-CN"/>
        </w:rPr>
        <w:t xml:space="preserve">as the new parent for the mobile IAB-node, i.e. the IAB-donor CU is not changed. </w:t>
      </w:r>
      <w:r w:rsidR="002515C6">
        <w:rPr>
          <w:lang w:val="en-GB" w:eastAsia="zh-CN"/>
        </w:rPr>
        <w:t xml:space="preserve">In this case, intra-donor CU migration </w:t>
      </w:r>
      <w:r w:rsidR="008578C8">
        <w:rPr>
          <w:lang w:val="en-GB" w:eastAsia="zh-CN"/>
        </w:rPr>
        <w:t xml:space="preserve">defined in Rel-17 is performed. </w:t>
      </w:r>
      <w:r w:rsidR="00ED0781">
        <w:rPr>
          <w:lang w:val="en-GB" w:eastAsia="zh-CN"/>
        </w:rPr>
        <w:t>IAB-donor CU only triggers handover procedure for the m</w:t>
      </w:r>
      <w:r w:rsidR="008578C8">
        <w:rPr>
          <w:lang w:val="en-GB" w:eastAsia="zh-CN"/>
        </w:rPr>
        <w:t xml:space="preserve">obile </w:t>
      </w:r>
      <w:r w:rsidR="00ED0781">
        <w:rPr>
          <w:lang w:val="en-GB" w:eastAsia="zh-CN"/>
        </w:rPr>
        <w:t>IAB-MT without impacting served UEs by mIAB-node</w:t>
      </w:r>
      <w:r w:rsidR="00882DFB">
        <w:rPr>
          <w:lang w:val="en-GB" w:eastAsia="zh-CN"/>
        </w:rPr>
        <w:t>, as the F1 termination of mobile IAB-DU is not changed</w:t>
      </w:r>
      <w:r w:rsidR="00ED0781">
        <w:rPr>
          <w:lang w:val="en-GB" w:eastAsia="zh-CN"/>
        </w:rPr>
        <w:t xml:space="preserve">. </w:t>
      </w:r>
    </w:p>
    <w:p w14:paraId="56F98CE9" w14:textId="1F0B62CC" w:rsidR="007D6FE6" w:rsidRPr="0011560A" w:rsidRDefault="007D6FE6" w:rsidP="0011560A">
      <w:pPr>
        <w:pStyle w:val="Obs-prop"/>
        <w:rPr>
          <w:rFonts w:cs="Times New Roman"/>
          <w:lang w:eastAsia="zh-CN"/>
        </w:rPr>
      </w:pPr>
      <w:r w:rsidRPr="0011560A">
        <w:rPr>
          <w:rFonts w:cs="Times New Roman"/>
          <w:lang w:eastAsia="zh-CN"/>
        </w:rPr>
        <w:t>Observation</w:t>
      </w:r>
      <w:r w:rsidR="0011560A">
        <w:rPr>
          <w:rFonts w:cs="Times New Roman"/>
          <w:lang w:eastAsia="zh-CN"/>
        </w:rPr>
        <w:t xml:space="preserve"> </w:t>
      </w:r>
      <w:r w:rsidR="001A6617">
        <w:rPr>
          <w:rFonts w:cs="Times New Roman"/>
          <w:lang w:eastAsia="zh-CN"/>
        </w:rPr>
        <w:t>1</w:t>
      </w:r>
      <w:r w:rsidRPr="0011560A">
        <w:rPr>
          <w:rFonts w:cs="Times New Roman"/>
          <w:lang w:eastAsia="zh-CN"/>
        </w:rPr>
        <w:t>: Intra-donor CU migration for the mIAB node can re-use Rel-17 IAB intra-donor CU migration procedure with no additional impact on mIAB or UEs.</w:t>
      </w:r>
    </w:p>
    <w:p w14:paraId="1F9897CE" w14:textId="77777777" w:rsidR="00273FDC" w:rsidRDefault="00273FDC" w:rsidP="00ED0781">
      <w:pPr>
        <w:rPr>
          <w:lang w:val="en-GB" w:eastAsia="zh-CN"/>
        </w:rPr>
      </w:pPr>
    </w:p>
    <w:p w14:paraId="52A24E0B" w14:textId="77777777" w:rsidR="00ED0781" w:rsidRDefault="00ED0781" w:rsidP="00ED0781">
      <w:pPr>
        <w:rPr>
          <w:lang w:val="en-GB" w:eastAsia="zh-CN"/>
        </w:rPr>
      </w:pPr>
      <w:r>
        <w:rPr>
          <w:lang w:val="en-GB" w:eastAsia="zh-CN"/>
        </w:rPr>
        <w:t>2) inter-donor CU full migration</w:t>
      </w:r>
    </w:p>
    <w:p w14:paraId="4C6185A7" w14:textId="388066A7" w:rsidR="003C4CD0" w:rsidRDefault="00ED0781" w:rsidP="00ED0781">
      <w:pPr>
        <w:rPr>
          <w:lang w:val="en-GB" w:eastAsia="zh-CN"/>
        </w:rPr>
      </w:pPr>
      <w:r>
        <w:rPr>
          <w:lang w:val="en-GB" w:eastAsia="zh-CN"/>
        </w:rPr>
        <w:t xml:space="preserve">However, </w:t>
      </w:r>
      <w:r w:rsidR="009879C1">
        <w:rPr>
          <w:lang w:val="en-GB" w:eastAsia="zh-CN"/>
        </w:rPr>
        <w:t>since the trajectory of the mobile IAB-node is not predictable</w:t>
      </w:r>
      <w:r w:rsidR="003F7E5F">
        <w:rPr>
          <w:lang w:val="en-GB" w:eastAsia="zh-CN"/>
        </w:rPr>
        <w:t xml:space="preserve"> and cover a large area</w:t>
      </w:r>
      <w:r w:rsidR="009879C1">
        <w:rPr>
          <w:lang w:val="en-GB" w:eastAsia="zh-CN"/>
        </w:rPr>
        <w:t xml:space="preserve">, </w:t>
      </w:r>
      <w:r w:rsidR="00612DD2">
        <w:rPr>
          <w:lang w:val="en-GB" w:eastAsia="zh-CN"/>
        </w:rPr>
        <w:t xml:space="preserve">it is possible that the mobile IAB-node moves out of the source IAB-donor CU’s coverage. Hence, the source IAB-donor CU needs </w:t>
      </w:r>
      <w:r w:rsidR="00391F57">
        <w:rPr>
          <w:lang w:val="en-GB" w:eastAsia="zh-CN"/>
        </w:rPr>
        <w:t>handover the mobile IAB-MT to</w:t>
      </w:r>
      <w:r w:rsidR="00612DD2">
        <w:rPr>
          <w:lang w:val="en-GB" w:eastAsia="zh-CN"/>
        </w:rPr>
        <w:t xml:space="preserve"> a </w:t>
      </w:r>
      <w:r w:rsidR="00391F57">
        <w:rPr>
          <w:lang w:val="en-GB" w:eastAsia="zh-CN"/>
        </w:rPr>
        <w:t xml:space="preserve">new target cell under another IAB-donor CU. </w:t>
      </w:r>
    </w:p>
    <w:p w14:paraId="17109247" w14:textId="2D8CE452" w:rsidR="009879C1" w:rsidRDefault="003C4CD0" w:rsidP="00ED0781">
      <w:pPr>
        <w:rPr>
          <w:lang w:val="en-GB" w:eastAsia="zh-CN"/>
        </w:rPr>
      </w:pPr>
      <w:r>
        <w:rPr>
          <w:lang w:val="en-GB" w:eastAsia="zh-CN"/>
        </w:rPr>
        <w:t xml:space="preserve">In Rel-17, </w:t>
      </w:r>
      <w:r w:rsidR="008413B5">
        <w:rPr>
          <w:lang w:val="en-GB" w:eastAsia="zh-CN"/>
        </w:rPr>
        <w:t xml:space="preserve">for stationary IAB-node, </w:t>
      </w:r>
      <w:r>
        <w:rPr>
          <w:lang w:val="en-GB" w:eastAsia="zh-CN"/>
        </w:rPr>
        <w:t xml:space="preserve">inter-donor CU partial migration is supported </w:t>
      </w:r>
      <w:r w:rsidR="003952AD">
        <w:rPr>
          <w:lang w:val="en-GB" w:eastAsia="zh-CN"/>
        </w:rPr>
        <w:t>to handover the IAB-MT from one IAB-donor CU to another IAB-donor CU without changing F1 termination of IAB-DU</w:t>
      </w:r>
      <w:r w:rsidR="00156F7F">
        <w:rPr>
          <w:lang w:val="en-GB" w:eastAsia="zh-CN"/>
        </w:rPr>
        <w:t xml:space="preserve">. </w:t>
      </w:r>
      <w:r w:rsidR="00F33F0F">
        <w:rPr>
          <w:lang w:val="en-GB" w:eastAsia="zh-CN"/>
        </w:rPr>
        <w:t xml:space="preserve">An IP connection </w:t>
      </w:r>
      <w:r w:rsidR="001A521C">
        <w:rPr>
          <w:lang w:val="en-GB" w:eastAsia="zh-CN"/>
        </w:rPr>
        <w:t>is</w:t>
      </w:r>
      <w:r w:rsidR="00F33F0F">
        <w:rPr>
          <w:lang w:val="en-GB" w:eastAsia="zh-CN"/>
        </w:rPr>
        <w:t xml:space="preserve"> established between target IAB-donor DU and source IAB-donor CU </w:t>
      </w:r>
      <w:r w:rsidR="00FC4720">
        <w:rPr>
          <w:lang w:val="en-GB" w:eastAsia="zh-CN"/>
        </w:rPr>
        <w:t xml:space="preserve">via the target IAB-donor DU </w:t>
      </w:r>
      <w:r w:rsidR="00F33F0F">
        <w:rPr>
          <w:lang w:val="en-GB" w:eastAsia="zh-CN"/>
        </w:rPr>
        <w:t>to allow packet re-routing.</w:t>
      </w:r>
      <w:r w:rsidR="00A55EA5">
        <w:rPr>
          <w:lang w:val="en-GB" w:eastAsia="zh-CN"/>
        </w:rPr>
        <w:t xml:space="preserve"> </w:t>
      </w:r>
      <w:r w:rsidR="00B65274">
        <w:rPr>
          <w:lang w:val="en-GB" w:eastAsia="zh-CN"/>
        </w:rPr>
        <w:t xml:space="preserve">Since </w:t>
      </w:r>
      <w:r w:rsidR="008472D4">
        <w:rPr>
          <w:lang w:val="en-GB" w:eastAsia="zh-CN"/>
        </w:rPr>
        <w:t xml:space="preserve">IAB-nodes in Rel-17 are considered as stationary IAB-nodes, the location of each IAB-node and IAB-donor </w:t>
      </w:r>
      <w:r w:rsidR="00A02780">
        <w:rPr>
          <w:lang w:val="en-GB" w:eastAsia="zh-CN"/>
        </w:rPr>
        <w:t>is not changed. It is reasonable to assume that the IP connection between target IAB-donor DU and source IAB-donor CU can be established</w:t>
      </w:r>
      <w:r w:rsidR="00C528E3">
        <w:rPr>
          <w:lang w:val="en-GB" w:eastAsia="zh-CN"/>
        </w:rPr>
        <w:t>, as the location of two IAB-donor</w:t>
      </w:r>
      <w:r w:rsidR="001A1D21">
        <w:rPr>
          <w:lang w:val="en-GB" w:eastAsia="zh-CN"/>
        </w:rPr>
        <w:t>s are near to each other</w:t>
      </w:r>
      <w:r w:rsidR="00422DEB">
        <w:rPr>
          <w:lang w:val="en-GB" w:eastAsia="zh-CN"/>
        </w:rPr>
        <w:t xml:space="preserve"> and known in advance</w:t>
      </w:r>
      <w:r w:rsidR="001A1D21">
        <w:rPr>
          <w:lang w:val="en-GB" w:eastAsia="zh-CN"/>
        </w:rPr>
        <w:t>.</w:t>
      </w:r>
    </w:p>
    <w:p w14:paraId="3AE9A050" w14:textId="445DEAC2" w:rsidR="004F3EC0" w:rsidRDefault="00281386" w:rsidP="00B85CBB">
      <w:pPr>
        <w:rPr>
          <w:lang w:val="en-GB" w:eastAsia="zh-CN"/>
        </w:rPr>
      </w:pPr>
      <w:r>
        <w:rPr>
          <w:lang w:val="en-GB" w:eastAsia="zh-CN"/>
        </w:rPr>
        <w:t xml:space="preserve">Different from Rel-17 stationary IAB-node, the mobile IAB-node </w:t>
      </w:r>
      <w:r w:rsidR="00E97FB4">
        <w:rPr>
          <w:lang w:val="en-GB" w:eastAsia="zh-CN"/>
        </w:rPr>
        <w:t>on the vehicle can move far away from the source IAB-donor CU</w:t>
      </w:r>
      <w:r w:rsidR="00F91FF3">
        <w:rPr>
          <w:lang w:val="en-GB" w:eastAsia="zh-CN"/>
        </w:rPr>
        <w:t xml:space="preserve"> to a target IAB-donor DU that is connected to a different (target) IAB-donor CU</w:t>
      </w:r>
      <w:r w:rsidR="00637E90">
        <w:rPr>
          <w:lang w:val="en-GB" w:eastAsia="zh-CN"/>
        </w:rPr>
        <w:t xml:space="preserve">.  It then becomes necessary to perform a full migration to move the mIAB and hence the serving UEs to the target IAB-donor-CU.  </w:t>
      </w:r>
    </w:p>
    <w:p w14:paraId="22D7E922" w14:textId="77777777" w:rsidR="004F3EC0" w:rsidRDefault="004F3EC0" w:rsidP="004F3EC0">
      <w:pPr>
        <w:rPr>
          <w:lang w:val="en-GB" w:eastAsia="zh-CN"/>
        </w:rPr>
      </w:pPr>
      <w:r>
        <w:rPr>
          <w:lang w:val="en-GB" w:eastAsia="zh-CN"/>
        </w:rPr>
        <w:t>As defined in RAN3 #112e meeting, in full migration, the boundary IAB-node and the descendant IAB-nodes(s) (if any) are migrated (both RRC and F1 connection) to the 2</w:t>
      </w:r>
      <w:r w:rsidRPr="008B6A65">
        <w:rPr>
          <w:vertAlign w:val="superscript"/>
          <w:lang w:val="en-GB" w:eastAsia="zh-CN"/>
        </w:rPr>
        <w:t>nd</w:t>
      </w:r>
      <w:r>
        <w:rPr>
          <w:lang w:val="en-GB" w:eastAsia="zh-CN"/>
        </w:rPr>
        <w:t xml:space="preserve"> IAB-donor CU from 1</w:t>
      </w:r>
      <w:r w:rsidRPr="008B6A65">
        <w:rPr>
          <w:vertAlign w:val="superscript"/>
          <w:lang w:val="en-GB" w:eastAsia="zh-CN"/>
        </w:rPr>
        <w:t>st</w:t>
      </w:r>
      <w:r>
        <w:rPr>
          <w:lang w:val="en-GB" w:eastAsia="zh-CN"/>
        </w:rPr>
        <w:t xml:space="preserve"> IAB-donor CU.</w:t>
      </w:r>
    </w:p>
    <w:tbl>
      <w:tblPr>
        <w:tblStyle w:val="TableGrid"/>
        <w:tblW w:w="0" w:type="auto"/>
        <w:tblLook w:val="04A0" w:firstRow="1" w:lastRow="0" w:firstColumn="1" w:lastColumn="0" w:noHBand="0" w:noVBand="1"/>
      </w:tblPr>
      <w:tblGrid>
        <w:gridCol w:w="9350"/>
      </w:tblGrid>
      <w:tr w:rsidR="004F3EC0" w14:paraId="4ADE36CB" w14:textId="77777777" w:rsidTr="003336E3">
        <w:tc>
          <w:tcPr>
            <w:tcW w:w="9350" w:type="dxa"/>
          </w:tcPr>
          <w:p w14:paraId="5017820F" w14:textId="77777777" w:rsidR="004F3EC0" w:rsidRPr="00D05DAE" w:rsidRDefault="004F3EC0" w:rsidP="003336E3">
            <w:pPr>
              <w:widowControl w:val="0"/>
              <w:ind w:left="144" w:hanging="144"/>
              <w:rPr>
                <w:rFonts w:ascii="Calibri" w:hAnsi="Calibri" w:cs="Calibri"/>
                <w:b/>
                <w:bCs/>
                <w:color w:val="00B050"/>
                <w:sz w:val="18"/>
                <w:szCs w:val="24"/>
              </w:rPr>
            </w:pPr>
            <w:r w:rsidRPr="00D05DAE">
              <w:rPr>
                <w:rFonts w:ascii="Calibri" w:hAnsi="Calibri" w:cs="Calibri"/>
                <w:b/>
                <w:bCs/>
                <w:color w:val="00B050"/>
                <w:sz w:val="18"/>
                <w:szCs w:val="24"/>
              </w:rPr>
              <w:lastRenderedPageBreak/>
              <w:t>Agree on the following terminologies and definitions:</w:t>
            </w:r>
          </w:p>
          <w:p w14:paraId="30E568F2" w14:textId="77777777" w:rsidR="004F3EC0" w:rsidRPr="00D05DAE" w:rsidRDefault="004F3EC0" w:rsidP="003336E3">
            <w:pPr>
              <w:widowControl w:val="0"/>
              <w:ind w:left="144" w:hanging="144"/>
              <w:rPr>
                <w:rFonts w:ascii="Calibri" w:hAnsi="Calibri" w:cs="Calibri"/>
                <w:b/>
                <w:bCs/>
                <w:color w:val="00B050"/>
                <w:sz w:val="18"/>
                <w:szCs w:val="24"/>
              </w:rPr>
            </w:pPr>
            <w:r w:rsidRPr="00D05DAE">
              <w:rPr>
                <w:rFonts w:ascii="Calibri" w:hAnsi="Calibri" w:cs="Calibri"/>
                <w:b/>
                <w:bCs/>
                <w:color w:val="00B050"/>
                <w:sz w:val="18"/>
                <w:szCs w:val="24"/>
              </w:rPr>
              <w:t>- Boundary IAB node: IAB-node, whose IAB-DU is terminated to a different IAB-donor-CU than a parent DU</w:t>
            </w:r>
          </w:p>
          <w:p w14:paraId="6BF7CA2D" w14:textId="77777777" w:rsidR="004F3EC0" w:rsidRPr="00D05DAE" w:rsidRDefault="004F3EC0" w:rsidP="003336E3">
            <w:pPr>
              <w:widowControl w:val="0"/>
              <w:ind w:left="144" w:hanging="144"/>
              <w:rPr>
                <w:rFonts w:ascii="Calibri" w:hAnsi="Calibri" w:cs="Calibri"/>
                <w:b/>
                <w:bCs/>
                <w:color w:val="00B050"/>
                <w:sz w:val="18"/>
                <w:szCs w:val="24"/>
              </w:rPr>
            </w:pPr>
            <w:r w:rsidRPr="00D05DAE">
              <w:rPr>
                <w:rFonts w:ascii="Calibri" w:hAnsi="Calibri" w:cs="Calibri"/>
                <w:b/>
                <w:bCs/>
                <w:color w:val="00B050"/>
                <w:sz w:val="18"/>
                <w:szCs w:val="24"/>
              </w:rPr>
              <w:t>- Partial Migration: the boundary IAB-MT is migrated to the 2nd IAB-donor-CU, while the boundary IAB-DU and descendant IAB node(s) (if any) are terminated to the 1st IAB-donor-CU.</w:t>
            </w:r>
          </w:p>
          <w:p w14:paraId="1C141E61" w14:textId="77777777" w:rsidR="004F3EC0" w:rsidRPr="008316B5" w:rsidRDefault="004F3EC0" w:rsidP="003336E3">
            <w:pPr>
              <w:widowControl w:val="0"/>
              <w:ind w:left="144" w:hanging="144"/>
              <w:rPr>
                <w:rFonts w:ascii="Calibri" w:hAnsi="Calibri" w:cs="Calibri"/>
                <w:b/>
                <w:bCs/>
                <w:color w:val="00B050"/>
                <w:sz w:val="18"/>
                <w:szCs w:val="24"/>
              </w:rPr>
            </w:pPr>
            <w:r w:rsidRPr="00D05DAE">
              <w:rPr>
                <w:rFonts w:ascii="Calibri" w:hAnsi="Calibri" w:cs="Calibri"/>
                <w:b/>
                <w:bCs/>
                <w:color w:val="00B050"/>
                <w:sz w:val="18"/>
                <w:szCs w:val="24"/>
              </w:rPr>
              <w:t xml:space="preserve">- Full Migration: the boundary IAB node and the descendant IAB node(s) (if any) are migrated (both RRC and F1 connection) to the 2nd IAB-donor-CU from 1st IAB-donor-CU. </w:t>
            </w:r>
          </w:p>
        </w:tc>
      </w:tr>
    </w:tbl>
    <w:p w14:paraId="22A1B376" w14:textId="77777777" w:rsidR="004F3EC0" w:rsidRDefault="004F3EC0" w:rsidP="00B85CBB">
      <w:pPr>
        <w:rPr>
          <w:lang w:val="en-GB" w:eastAsia="zh-CN"/>
        </w:rPr>
      </w:pPr>
    </w:p>
    <w:p w14:paraId="03B74D17" w14:textId="6203E27A" w:rsidR="00B85CBB" w:rsidRPr="005C48C4" w:rsidRDefault="00637E90" w:rsidP="00B85CBB">
      <w:pPr>
        <w:rPr>
          <w:lang w:val="en-GB" w:eastAsia="zh-CN"/>
        </w:rPr>
      </w:pPr>
      <w:r>
        <w:rPr>
          <w:lang w:val="en-GB" w:eastAsia="zh-CN"/>
        </w:rPr>
        <w:t>As discussed in RAN3 in Rel-17, it could be possible to use part</w:t>
      </w:r>
      <w:r w:rsidR="001E0022">
        <w:rPr>
          <w:lang w:val="en-GB" w:eastAsia="zh-CN"/>
        </w:rPr>
        <w:t>ial migration based full migration.  However, i</w:t>
      </w:r>
      <w:r w:rsidR="00002BB7">
        <w:rPr>
          <w:lang w:val="en-GB" w:eastAsia="zh-CN"/>
        </w:rPr>
        <w:t>t is possible that</w:t>
      </w:r>
      <w:r w:rsidR="00E97FB4">
        <w:rPr>
          <w:lang w:val="en-GB" w:eastAsia="zh-CN"/>
        </w:rPr>
        <w:t xml:space="preserve"> </w:t>
      </w:r>
      <w:r w:rsidR="00002BB7">
        <w:rPr>
          <w:lang w:val="en-GB" w:eastAsia="zh-CN"/>
        </w:rPr>
        <w:t>the IP connection between new target IAB-donor DU and the source IAB-donor CU cannot be established</w:t>
      </w:r>
      <w:r w:rsidR="009D0C41">
        <w:rPr>
          <w:lang w:val="en-GB" w:eastAsia="zh-CN"/>
        </w:rPr>
        <w:t xml:space="preserve">, for example, the mobile IAB-node moves out of the coverage of </w:t>
      </w:r>
      <w:r w:rsidR="009161EF">
        <w:rPr>
          <w:lang w:val="en-GB" w:eastAsia="zh-CN"/>
        </w:rPr>
        <w:t>source IAB-donor CU’s</w:t>
      </w:r>
      <w:r w:rsidR="009D0C41">
        <w:rPr>
          <w:lang w:val="en-GB" w:eastAsia="zh-CN"/>
        </w:rPr>
        <w:t xml:space="preserve"> IP network</w:t>
      </w:r>
      <w:r w:rsidR="00002BB7">
        <w:rPr>
          <w:lang w:val="en-GB" w:eastAsia="zh-CN"/>
        </w:rPr>
        <w:t xml:space="preserve">. In this case, a full migration </w:t>
      </w:r>
      <w:r w:rsidR="00A44767">
        <w:rPr>
          <w:lang w:val="en-GB" w:eastAsia="zh-CN"/>
        </w:rPr>
        <w:t xml:space="preserve">to the target </w:t>
      </w:r>
      <w:r w:rsidR="00002BB7">
        <w:rPr>
          <w:lang w:val="en-GB" w:eastAsia="zh-CN"/>
        </w:rPr>
        <w:t xml:space="preserve">without </w:t>
      </w:r>
      <w:r w:rsidR="00DC4F94">
        <w:rPr>
          <w:lang w:val="en-GB" w:eastAsia="zh-CN"/>
        </w:rPr>
        <w:t>IP connection establishment</w:t>
      </w:r>
      <w:r w:rsidR="00E945A6">
        <w:rPr>
          <w:lang w:val="en-GB" w:eastAsia="zh-CN"/>
        </w:rPr>
        <w:t xml:space="preserve"> </w:t>
      </w:r>
      <w:r w:rsidR="00F7464E">
        <w:rPr>
          <w:lang w:val="en-GB" w:eastAsia="zh-CN"/>
        </w:rPr>
        <w:t xml:space="preserve">(i.e., without partial migration) </w:t>
      </w:r>
      <w:r w:rsidR="00E945A6">
        <w:rPr>
          <w:lang w:val="en-GB" w:eastAsia="zh-CN"/>
        </w:rPr>
        <w:t xml:space="preserve">also needs to be supported. </w:t>
      </w:r>
      <w:r w:rsidR="00381E59">
        <w:rPr>
          <w:lang w:val="en-GB" w:eastAsia="zh-CN"/>
        </w:rPr>
        <w:t>For this scenario,</w:t>
      </w:r>
      <w:r w:rsidR="006212B4">
        <w:rPr>
          <w:lang w:val="en-GB" w:eastAsia="zh-CN"/>
        </w:rPr>
        <w:t xml:space="preserve"> </w:t>
      </w:r>
      <w:r w:rsidR="00B85CBB">
        <w:rPr>
          <w:lang w:val="en-GB" w:eastAsia="zh-CN"/>
        </w:rPr>
        <w:t>both mIAB-MT Uu termination and mIAB-DU F1 termination change from the source to target IAB-donor CU.</w:t>
      </w:r>
      <w:r w:rsidR="00A62168">
        <w:rPr>
          <w:lang w:val="en-GB" w:eastAsia="zh-CN"/>
        </w:rPr>
        <w:t xml:space="preserve">  It is up to RAN3 to discuss and decide whether such IP connection can be guaranteed or not.</w:t>
      </w:r>
    </w:p>
    <w:p w14:paraId="51F9ADAE" w14:textId="37176450" w:rsidR="00CD1D8F" w:rsidRPr="003D6112" w:rsidRDefault="00CD1D8F" w:rsidP="00C21771">
      <w:pPr>
        <w:pStyle w:val="Obs-prop"/>
        <w:rPr>
          <w:lang w:eastAsia="zh-CN"/>
        </w:rPr>
      </w:pPr>
      <w:r w:rsidRPr="003D6112">
        <w:rPr>
          <w:lang w:eastAsia="zh-CN"/>
        </w:rPr>
        <w:t xml:space="preserve">Observation </w:t>
      </w:r>
      <w:r w:rsidR="001A6617">
        <w:rPr>
          <w:lang w:eastAsia="zh-CN"/>
        </w:rPr>
        <w:t>2</w:t>
      </w:r>
      <w:r w:rsidRPr="003D6112">
        <w:rPr>
          <w:lang w:eastAsia="zh-CN"/>
        </w:rPr>
        <w:t xml:space="preserve">: </w:t>
      </w:r>
      <w:r w:rsidR="00A62168">
        <w:rPr>
          <w:lang w:eastAsia="zh-CN"/>
        </w:rPr>
        <w:t xml:space="preserve">RAN3 should discuss whether </w:t>
      </w:r>
      <w:r w:rsidRPr="003D6112">
        <w:rPr>
          <w:lang w:eastAsia="zh-CN"/>
        </w:rPr>
        <w:t>IP connecti</w:t>
      </w:r>
      <w:r>
        <w:rPr>
          <w:lang w:eastAsia="zh-CN"/>
        </w:rPr>
        <w:t>vity</w:t>
      </w:r>
      <w:r w:rsidRPr="003D6112">
        <w:rPr>
          <w:lang w:eastAsia="zh-CN"/>
        </w:rPr>
        <w:t xml:space="preserve"> between </w:t>
      </w:r>
      <w:r>
        <w:rPr>
          <w:lang w:eastAsia="zh-CN"/>
        </w:rPr>
        <w:t xml:space="preserve">the </w:t>
      </w:r>
      <w:r w:rsidRPr="003D6112">
        <w:rPr>
          <w:lang w:eastAsia="zh-CN"/>
        </w:rPr>
        <w:t xml:space="preserve">target IAB-donor DU and </w:t>
      </w:r>
      <w:r>
        <w:rPr>
          <w:lang w:eastAsia="zh-CN"/>
        </w:rPr>
        <w:t xml:space="preserve">the </w:t>
      </w:r>
      <w:r w:rsidRPr="003D6112">
        <w:rPr>
          <w:lang w:eastAsia="zh-CN"/>
        </w:rPr>
        <w:t xml:space="preserve">source IAB-donor CU </w:t>
      </w:r>
      <w:r>
        <w:rPr>
          <w:lang w:eastAsia="zh-CN"/>
        </w:rPr>
        <w:t xml:space="preserve">can </w:t>
      </w:r>
      <w:r w:rsidR="0025124A">
        <w:rPr>
          <w:lang w:eastAsia="zh-CN"/>
        </w:rPr>
        <w:t xml:space="preserve">always </w:t>
      </w:r>
      <w:r>
        <w:rPr>
          <w:lang w:eastAsia="zh-CN"/>
        </w:rPr>
        <w:t xml:space="preserve">be guaranteed </w:t>
      </w:r>
      <w:r w:rsidRPr="003D6112">
        <w:rPr>
          <w:lang w:eastAsia="zh-CN"/>
        </w:rPr>
        <w:t xml:space="preserve">when </w:t>
      </w:r>
      <w:r>
        <w:rPr>
          <w:lang w:eastAsia="zh-CN"/>
        </w:rPr>
        <w:t xml:space="preserve">a </w:t>
      </w:r>
      <w:r w:rsidRPr="003D6112">
        <w:rPr>
          <w:lang w:eastAsia="zh-CN"/>
        </w:rPr>
        <w:t>mobile IAB-node moves across IP network boundar</w:t>
      </w:r>
      <w:r>
        <w:rPr>
          <w:lang w:eastAsia="zh-CN"/>
        </w:rPr>
        <w:t>ies</w:t>
      </w:r>
      <w:r w:rsidRPr="003D6112">
        <w:rPr>
          <w:lang w:eastAsia="zh-CN"/>
        </w:rPr>
        <w:t>.</w:t>
      </w:r>
    </w:p>
    <w:p w14:paraId="44C1034F" w14:textId="4EF95DFE" w:rsidR="00C85581" w:rsidRDefault="002D1C28" w:rsidP="00DA2BB4">
      <w:pPr>
        <w:rPr>
          <w:lang w:val="en-GB" w:eastAsia="zh-CN"/>
        </w:rPr>
      </w:pPr>
      <w:r>
        <w:rPr>
          <w:lang w:val="en-GB" w:eastAsia="zh-CN"/>
        </w:rPr>
        <w:t xml:space="preserve">Additionally, </w:t>
      </w:r>
      <w:r w:rsidR="00823821">
        <w:rPr>
          <w:lang w:val="en-GB" w:eastAsia="zh-CN"/>
        </w:rPr>
        <w:t xml:space="preserve">full </w:t>
      </w:r>
      <w:r w:rsidR="00500E52">
        <w:rPr>
          <w:lang w:val="en-GB" w:eastAsia="zh-CN"/>
        </w:rPr>
        <w:t>inter-donor CU migration</w:t>
      </w:r>
      <w:r w:rsidR="00823821">
        <w:rPr>
          <w:lang w:val="en-GB" w:eastAsia="zh-CN"/>
        </w:rPr>
        <w:t xml:space="preserve"> also requires that </w:t>
      </w:r>
      <w:r>
        <w:rPr>
          <w:lang w:val="en-GB" w:eastAsia="zh-CN"/>
        </w:rPr>
        <w:t xml:space="preserve">all the </w:t>
      </w:r>
      <w:r w:rsidR="00F7464E">
        <w:rPr>
          <w:lang w:val="en-GB" w:eastAsia="zh-CN"/>
        </w:rPr>
        <w:t>serv</w:t>
      </w:r>
      <w:r w:rsidR="00EF014E">
        <w:rPr>
          <w:lang w:val="en-GB" w:eastAsia="zh-CN"/>
        </w:rPr>
        <w:t>ed</w:t>
      </w:r>
      <w:r w:rsidR="00F7464E">
        <w:rPr>
          <w:lang w:val="en-GB" w:eastAsia="zh-CN"/>
        </w:rPr>
        <w:t xml:space="preserve"> </w:t>
      </w:r>
      <w:r>
        <w:rPr>
          <w:lang w:val="en-GB" w:eastAsia="zh-CN"/>
        </w:rPr>
        <w:t>UEs connected to the mIAB node ha</w:t>
      </w:r>
      <w:r w:rsidR="009350DC">
        <w:rPr>
          <w:lang w:val="en-GB" w:eastAsia="zh-CN"/>
        </w:rPr>
        <w:t>ve</w:t>
      </w:r>
      <w:r>
        <w:rPr>
          <w:lang w:val="en-GB" w:eastAsia="zh-CN"/>
        </w:rPr>
        <w:t xml:space="preserve"> to be moved from the source donor CU to the target donor CU.  This change of CU will also result in a change of security key, </w:t>
      </w:r>
      <w:proofErr w:type="spellStart"/>
      <w:r>
        <w:rPr>
          <w:lang w:val="en-GB" w:eastAsia="zh-CN"/>
        </w:rPr>
        <w:t>KgNB</w:t>
      </w:r>
      <w:proofErr w:type="spellEnd"/>
      <w:r>
        <w:rPr>
          <w:lang w:val="en-GB" w:eastAsia="zh-CN"/>
        </w:rPr>
        <w:t xml:space="preserve">, for these UEs. A HO procedure has to be executed for all the UEs to update the security key.  </w:t>
      </w:r>
      <w:r w:rsidR="009F658D">
        <w:rPr>
          <w:lang w:val="en-GB" w:eastAsia="zh-CN"/>
        </w:rPr>
        <w:t>This aspect is discussed in [</w:t>
      </w:r>
      <w:r w:rsidR="00184007">
        <w:rPr>
          <w:lang w:val="en-GB" w:eastAsia="zh-CN"/>
        </w:rPr>
        <w:t>1</w:t>
      </w:r>
      <w:r w:rsidR="009F658D">
        <w:rPr>
          <w:lang w:val="en-GB" w:eastAsia="zh-CN"/>
        </w:rPr>
        <w:t>]</w:t>
      </w:r>
      <w:r w:rsidR="00184007">
        <w:rPr>
          <w:lang w:val="en-GB" w:eastAsia="zh-CN"/>
        </w:rPr>
        <w:t xml:space="preserve"> and further below</w:t>
      </w:r>
      <w:r w:rsidR="009F658D">
        <w:rPr>
          <w:lang w:val="en-GB" w:eastAsia="zh-CN"/>
        </w:rPr>
        <w:t>.</w:t>
      </w:r>
    </w:p>
    <w:p w14:paraId="2AEF0F8D" w14:textId="4F97B2D0" w:rsidR="00E5636E" w:rsidRDefault="00E5636E" w:rsidP="00DA2BB4">
      <w:pPr>
        <w:rPr>
          <w:lang w:val="en-GB" w:eastAsia="zh-CN"/>
        </w:rPr>
      </w:pPr>
      <w:r>
        <w:rPr>
          <w:lang w:val="en-GB" w:eastAsia="zh-CN"/>
        </w:rPr>
        <w:t xml:space="preserve">In summary, </w:t>
      </w:r>
      <w:r w:rsidR="00CF61E4">
        <w:rPr>
          <w:lang w:val="en-GB" w:eastAsia="zh-CN"/>
        </w:rPr>
        <w:t>f</w:t>
      </w:r>
      <w:r>
        <w:rPr>
          <w:lang w:val="en-GB" w:eastAsia="zh-CN"/>
        </w:rPr>
        <w:t>ull migration involves the following procedures</w:t>
      </w:r>
      <w:r w:rsidR="0025124A">
        <w:rPr>
          <w:lang w:val="en-GB" w:eastAsia="zh-CN"/>
        </w:rPr>
        <w:t xml:space="preserve"> (the order in which procedures are executed depends on the chosen solution)</w:t>
      </w:r>
      <w:r>
        <w:rPr>
          <w:lang w:val="en-GB" w:eastAsia="zh-CN"/>
        </w:rPr>
        <w:t>:</w:t>
      </w:r>
    </w:p>
    <w:p w14:paraId="305100E0" w14:textId="4790269A" w:rsidR="00E5636E" w:rsidRPr="00C21771" w:rsidRDefault="00E5636E" w:rsidP="00E5636E">
      <w:pPr>
        <w:pStyle w:val="ListParagraph"/>
        <w:numPr>
          <w:ilvl w:val="0"/>
          <w:numId w:val="8"/>
        </w:numPr>
        <w:rPr>
          <w:rFonts w:ascii="Times New Roman" w:hAnsi="Times New Roman"/>
          <w:sz w:val="20"/>
          <w:szCs w:val="20"/>
          <w:lang w:val="en-GB" w:eastAsia="zh-CN"/>
        </w:rPr>
      </w:pPr>
      <w:r w:rsidRPr="00C21771">
        <w:rPr>
          <w:rFonts w:ascii="Times New Roman" w:hAnsi="Times New Roman"/>
          <w:sz w:val="20"/>
          <w:szCs w:val="20"/>
          <w:lang w:val="en-GB" w:eastAsia="zh-CN"/>
        </w:rPr>
        <w:t>HO preparation of the mIAB</w:t>
      </w:r>
      <w:r w:rsidR="00DE6601">
        <w:rPr>
          <w:rFonts w:ascii="Times New Roman" w:hAnsi="Times New Roman"/>
          <w:sz w:val="20"/>
          <w:szCs w:val="20"/>
          <w:lang w:val="en-GB" w:eastAsia="zh-CN"/>
        </w:rPr>
        <w:t>-</w:t>
      </w:r>
      <w:r w:rsidR="009A6057">
        <w:rPr>
          <w:rFonts w:ascii="Times New Roman" w:hAnsi="Times New Roman"/>
          <w:sz w:val="20"/>
          <w:szCs w:val="20"/>
          <w:lang w:val="en-GB" w:eastAsia="zh-CN"/>
        </w:rPr>
        <w:t xml:space="preserve">MT and providing the HO command to the IAB-MT </w:t>
      </w:r>
    </w:p>
    <w:p w14:paraId="39408409" w14:textId="2E66E555" w:rsidR="00E5636E" w:rsidRPr="00C21771" w:rsidRDefault="00E5636E" w:rsidP="00E5636E">
      <w:pPr>
        <w:pStyle w:val="ListParagraph"/>
        <w:numPr>
          <w:ilvl w:val="0"/>
          <w:numId w:val="8"/>
        </w:numPr>
        <w:rPr>
          <w:rFonts w:ascii="Times New Roman" w:hAnsi="Times New Roman"/>
          <w:sz w:val="20"/>
          <w:szCs w:val="20"/>
          <w:lang w:val="en-GB" w:eastAsia="zh-CN"/>
        </w:rPr>
      </w:pPr>
      <w:r w:rsidRPr="00C21771">
        <w:rPr>
          <w:rFonts w:ascii="Times New Roman" w:hAnsi="Times New Roman"/>
          <w:sz w:val="20"/>
          <w:szCs w:val="20"/>
          <w:lang w:val="en-GB" w:eastAsia="zh-CN"/>
        </w:rPr>
        <w:t>HO preparation of the served UEs</w:t>
      </w:r>
      <w:r w:rsidR="009A6057">
        <w:rPr>
          <w:rFonts w:ascii="Times New Roman" w:hAnsi="Times New Roman"/>
          <w:sz w:val="20"/>
          <w:szCs w:val="20"/>
          <w:lang w:val="en-GB" w:eastAsia="zh-CN"/>
        </w:rPr>
        <w:t xml:space="preserve"> and providing HO command to them</w:t>
      </w:r>
    </w:p>
    <w:p w14:paraId="1DD4D89A" w14:textId="09B3B1BA" w:rsidR="00E5636E" w:rsidRPr="00C21771" w:rsidRDefault="00E5636E" w:rsidP="00E5636E">
      <w:pPr>
        <w:pStyle w:val="ListParagraph"/>
        <w:numPr>
          <w:ilvl w:val="0"/>
          <w:numId w:val="8"/>
        </w:numPr>
        <w:rPr>
          <w:rFonts w:ascii="Times New Roman" w:hAnsi="Times New Roman"/>
          <w:sz w:val="20"/>
          <w:szCs w:val="20"/>
          <w:lang w:val="en-GB" w:eastAsia="zh-CN"/>
        </w:rPr>
      </w:pPr>
      <w:r w:rsidRPr="00C21771">
        <w:rPr>
          <w:rFonts w:ascii="Times New Roman" w:hAnsi="Times New Roman"/>
          <w:sz w:val="20"/>
          <w:szCs w:val="20"/>
          <w:lang w:val="en-GB" w:eastAsia="zh-CN"/>
        </w:rPr>
        <w:t xml:space="preserve">F1 setup between the target IAB-donor-CU and </w:t>
      </w:r>
      <w:proofErr w:type="spellStart"/>
      <w:r w:rsidRPr="00C21771">
        <w:rPr>
          <w:rFonts w:ascii="Times New Roman" w:hAnsi="Times New Roman"/>
          <w:sz w:val="20"/>
          <w:szCs w:val="20"/>
          <w:lang w:val="en-GB" w:eastAsia="zh-CN"/>
        </w:rPr>
        <w:t>mIAB</w:t>
      </w:r>
      <w:proofErr w:type="spellEnd"/>
      <w:r w:rsidR="003E38AE">
        <w:rPr>
          <w:rFonts w:ascii="Times New Roman" w:hAnsi="Times New Roman"/>
          <w:sz w:val="20"/>
          <w:szCs w:val="20"/>
          <w:lang w:val="en-GB" w:eastAsia="zh-CN"/>
        </w:rPr>
        <w:t>-</w:t>
      </w:r>
      <w:r w:rsidRPr="00C21771">
        <w:rPr>
          <w:rFonts w:ascii="Times New Roman" w:hAnsi="Times New Roman"/>
          <w:sz w:val="20"/>
          <w:szCs w:val="20"/>
          <w:lang w:val="en-GB" w:eastAsia="zh-CN"/>
        </w:rPr>
        <w:t>DU</w:t>
      </w:r>
    </w:p>
    <w:p w14:paraId="2531947E" w14:textId="5080A2FD" w:rsidR="00E5636E" w:rsidRPr="00C21771" w:rsidRDefault="00E5636E" w:rsidP="00E5636E">
      <w:pPr>
        <w:pStyle w:val="ListParagraph"/>
        <w:numPr>
          <w:ilvl w:val="0"/>
          <w:numId w:val="8"/>
        </w:numPr>
        <w:rPr>
          <w:rFonts w:ascii="Times New Roman" w:hAnsi="Times New Roman"/>
          <w:sz w:val="20"/>
          <w:szCs w:val="20"/>
          <w:lang w:val="en-GB" w:eastAsia="zh-CN"/>
        </w:rPr>
      </w:pPr>
      <w:r w:rsidRPr="00C21771">
        <w:rPr>
          <w:rFonts w:ascii="Times New Roman" w:hAnsi="Times New Roman"/>
          <w:sz w:val="20"/>
          <w:szCs w:val="20"/>
          <w:lang w:val="en-GB" w:eastAsia="zh-CN"/>
        </w:rPr>
        <w:t>Any changes to the mIAB cell as a consequence of the new F1 setup to target IAB-donor-CU (e.g. PCI change)</w:t>
      </w:r>
    </w:p>
    <w:p w14:paraId="71F9A1DE" w14:textId="4604FB6A" w:rsidR="00E5636E" w:rsidRPr="00C21771" w:rsidRDefault="00E5636E" w:rsidP="00E5636E">
      <w:pPr>
        <w:pStyle w:val="ListParagraph"/>
        <w:numPr>
          <w:ilvl w:val="0"/>
          <w:numId w:val="8"/>
        </w:numPr>
        <w:rPr>
          <w:rFonts w:ascii="Times New Roman" w:hAnsi="Times New Roman"/>
          <w:sz w:val="20"/>
          <w:szCs w:val="20"/>
          <w:lang w:val="en-GB" w:eastAsia="zh-CN"/>
        </w:rPr>
      </w:pPr>
      <w:r w:rsidRPr="00C21771">
        <w:rPr>
          <w:rFonts w:ascii="Times New Roman" w:hAnsi="Times New Roman"/>
          <w:sz w:val="20"/>
          <w:szCs w:val="20"/>
          <w:lang w:val="en-GB" w:eastAsia="zh-CN"/>
        </w:rPr>
        <w:t>HO execution of the mIAB node</w:t>
      </w:r>
    </w:p>
    <w:p w14:paraId="482DD8FD" w14:textId="0AC46B97" w:rsidR="00E5636E" w:rsidRDefault="00E5636E" w:rsidP="00E5636E">
      <w:pPr>
        <w:pStyle w:val="ListParagraph"/>
        <w:numPr>
          <w:ilvl w:val="0"/>
          <w:numId w:val="8"/>
        </w:numPr>
        <w:rPr>
          <w:rFonts w:ascii="Times New Roman" w:hAnsi="Times New Roman"/>
          <w:sz w:val="20"/>
          <w:szCs w:val="20"/>
          <w:lang w:val="en-GB" w:eastAsia="zh-CN"/>
        </w:rPr>
      </w:pPr>
      <w:r w:rsidRPr="00C21771">
        <w:rPr>
          <w:rFonts w:ascii="Times New Roman" w:hAnsi="Times New Roman"/>
          <w:sz w:val="20"/>
          <w:szCs w:val="20"/>
          <w:lang w:val="en-GB" w:eastAsia="zh-CN"/>
        </w:rPr>
        <w:t>HO execution of the served UEs</w:t>
      </w:r>
    </w:p>
    <w:p w14:paraId="1CB9D9F2" w14:textId="19B6E802" w:rsidR="00715FD0" w:rsidRPr="00C21771" w:rsidRDefault="00715FD0" w:rsidP="00C21771">
      <w:pPr>
        <w:pStyle w:val="ListParagraph"/>
        <w:numPr>
          <w:ilvl w:val="0"/>
          <w:numId w:val="8"/>
        </w:numPr>
        <w:rPr>
          <w:rFonts w:ascii="Times New Roman" w:hAnsi="Times New Roman"/>
          <w:sz w:val="20"/>
          <w:szCs w:val="20"/>
          <w:lang w:val="en-GB" w:eastAsia="zh-CN"/>
        </w:rPr>
      </w:pPr>
      <w:r>
        <w:rPr>
          <w:rFonts w:ascii="Times New Roman" w:hAnsi="Times New Roman"/>
          <w:sz w:val="20"/>
          <w:szCs w:val="20"/>
          <w:lang w:val="en-GB" w:eastAsia="zh-CN"/>
        </w:rPr>
        <w:t>Release of the F1</w:t>
      </w:r>
      <w:r w:rsidR="002261B9">
        <w:rPr>
          <w:rFonts w:ascii="Times New Roman" w:hAnsi="Times New Roman"/>
          <w:sz w:val="20"/>
          <w:szCs w:val="20"/>
          <w:lang w:val="en-GB" w:eastAsia="zh-CN"/>
        </w:rPr>
        <w:t xml:space="preserve"> between the mIAB-DU and source IAB-donor-CU</w:t>
      </w:r>
    </w:p>
    <w:p w14:paraId="0C855D4D" w14:textId="57C8225B" w:rsidR="002261B9" w:rsidRDefault="002261B9" w:rsidP="00DA2BB4">
      <w:pPr>
        <w:rPr>
          <w:lang w:val="en-GB"/>
        </w:rPr>
      </w:pPr>
      <w:r>
        <w:rPr>
          <w:lang w:val="en-GB"/>
        </w:rPr>
        <w:t>While the network aspects (steps 1, 2, 3, 7) have to be discussed in detail in RAN3, RAN2 should discuss the radio interface aspect (steps 4</w:t>
      </w:r>
      <w:r w:rsidR="00E17546">
        <w:rPr>
          <w:lang w:val="en-GB"/>
        </w:rPr>
        <w:t>, 5</w:t>
      </w:r>
      <w:r>
        <w:rPr>
          <w:lang w:val="en-GB"/>
        </w:rPr>
        <w:t xml:space="preserve"> and 6) and </w:t>
      </w:r>
      <w:r w:rsidR="00E17546">
        <w:rPr>
          <w:lang w:val="en-GB"/>
        </w:rPr>
        <w:t>overall stage 2 aspects</w:t>
      </w:r>
      <w:r>
        <w:rPr>
          <w:lang w:val="en-GB"/>
        </w:rPr>
        <w:t xml:space="preserve">.  PCI change for step 4 is discussed in section 2.3.  </w:t>
      </w:r>
      <w:r w:rsidR="004119A7">
        <w:rPr>
          <w:lang w:val="en-GB"/>
        </w:rPr>
        <w:t xml:space="preserve">Step 6 </w:t>
      </w:r>
      <w:r w:rsidR="00290485">
        <w:rPr>
          <w:lang w:val="en-GB"/>
        </w:rPr>
        <w:t xml:space="preserve">and its interaction with other steps </w:t>
      </w:r>
      <w:r w:rsidR="004119A7">
        <w:rPr>
          <w:lang w:val="en-GB"/>
        </w:rPr>
        <w:t>is discussed below.</w:t>
      </w:r>
    </w:p>
    <w:p w14:paraId="2D5F0E89" w14:textId="6D730739" w:rsidR="002A7DDB" w:rsidRDefault="002A2752" w:rsidP="00DA2BB4">
      <w:pPr>
        <w:rPr>
          <w:lang w:val="en-GB" w:eastAsia="zh-CN"/>
        </w:rPr>
      </w:pPr>
      <w:r>
        <w:rPr>
          <w:lang w:val="en-GB" w:eastAsia="zh-CN"/>
        </w:rPr>
        <w:t>B</w:t>
      </w:r>
      <w:r w:rsidR="002A7DDB">
        <w:rPr>
          <w:lang w:val="en-GB" w:eastAsia="zh-CN"/>
        </w:rPr>
        <w:t>ased on above discussion</w:t>
      </w:r>
      <w:r w:rsidR="00514118">
        <w:rPr>
          <w:lang w:val="en-GB" w:eastAsia="zh-CN"/>
        </w:rPr>
        <w:t xml:space="preserve"> on possibility of IP connectivity between the target IAB-donor-DU and source IAB-donor-CU</w:t>
      </w:r>
      <w:r w:rsidR="002A7DDB">
        <w:rPr>
          <w:lang w:val="en-GB" w:eastAsia="zh-CN"/>
        </w:rPr>
        <w:t xml:space="preserve">, </w:t>
      </w:r>
      <w:r w:rsidR="00A93F3D">
        <w:rPr>
          <w:lang w:val="en-GB" w:eastAsia="zh-CN"/>
        </w:rPr>
        <w:t xml:space="preserve">there </w:t>
      </w:r>
      <w:r w:rsidR="008316B5">
        <w:rPr>
          <w:lang w:val="en-GB" w:eastAsia="zh-CN"/>
        </w:rPr>
        <w:t>are</w:t>
      </w:r>
      <w:r w:rsidR="00A93F3D">
        <w:rPr>
          <w:lang w:val="en-GB" w:eastAsia="zh-CN"/>
        </w:rPr>
        <w:t xml:space="preserve"> two </w:t>
      </w:r>
      <w:r w:rsidR="008316B5">
        <w:rPr>
          <w:lang w:val="en-GB" w:eastAsia="zh-CN"/>
        </w:rPr>
        <w:t>options</w:t>
      </w:r>
      <w:r w:rsidR="00BC58E5">
        <w:rPr>
          <w:lang w:val="en-GB" w:eastAsia="zh-CN"/>
        </w:rPr>
        <w:t xml:space="preserve"> </w:t>
      </w:r>
      <w:r w:rsidR="00603C1E">
        <w:rPr>
          <w:lang w:val="en-GB" w:eastAsia="zh-CN"/>
        </w:rPr>
        <w:t xml:space="preserve">for </w:t>
      </w:r>
      <w:r w:rsidR="00BC58E5">
        <w:rPr>
          <w:lang w:val="en-GB" w:eastAsia="zh-CN"/>
        </w:rPr>
        <w:t xml:space="preserve">supporting full migration </w:t>
      </w:r>
      <w:r w:rsidR="00603C1E">
        <w:rPr>
          <w:lang w:val="en-GB" w:eastAsia="zh-CN"/>
        </w:rPr>
        <w:t xml:space="preserve">of </w:t>
      </w:r>
      <w:r w:rsidR="00BC58E5">
        <w:rPr>
          <w:lang w:val="en-GB" w:eastAsia="zh-CN"/>
        </w:rPr>
        <w:t>mobile IAB-node:</w:t>
      </w:r>
    </w:p>
    <w:p w14:paraId="16EA24F7" w14:textId="479A857C" w:rsidR="00DA2BB4" w:rsidRPr="009C132D" w:rsidRDefault="00DA2BB4" w:rsidP="00DA2BB4">
      <w:pPr>
        <w:rPr>
          <w:i/>
          <w:iCs/>
          <w:u w:val="single"/>
          <w:lang w:val="en-GB" w:eastAsia="zh-CN"/>
        </w:rPr>
      </w:pPr>
      <w:r w:rsidRPr="009C132D">
        <w:rPr>
          <w:i/>
          <w:iCs/>
          <w:u w:val="single"/>
          <w:lang w:val="en-GB" w:eastAsia="zh-CN"/>
        </w:rPr>
        <w:t xml:space="preserve">Option </w:t>
      </w:r>
      <w:r w:rsidR="00BC58E5" w:rsidRPr="009C132D">
        <w:rPr>
          <w:i/>
          <w:iCs/>
          <w:u w:val="single"/>
          <w:lang w:val="en-GB" w:eastAsia="zh-CN"/>
        </w:rPr>
        <w:t>1</w:t>
      </w:r>
      <w:r w:rsidRPr="009C132D">
        <w:rPr>
          <w:i/>
          <w:iCs/>
          <w:u w:val="single"/>
          <w:lang w:val="en-GB" w:eastAsia="zh-CN"/>
        </w:rPr>
        <w:t>: partial migration based full migration</w:t>
      </w:r>
      <w:r w:rsidR="00BC58E5" w:rsidRPr="009C132D">
        <w:rPr>
          <w:i/>
          <w:iCs/>
          <w:u w:val="single"/>
          <w:lang w:val="en-GB" w:eastAsia="zh-CN"/>
        </w:rPr>
        <w:t xml:space="preserve"> (</w:t>
      </w:r>
      <w:r w:rsidR="00BC47D7">
        <w:rPr>
          <w:i/>
          <w:iCs/>
          <w:u w:val="single"/>
          <w:lang w:val="en-GB" w:eastAsia="zh-CN"/>
        </w:rPr>
        <w:t xml:space="preserve">if </w:t>
      </w:r>
      <w:r w:rsidR="00BC58E5" w:rsidRPr="009C132D">
        <w:rPr>
          <w:i/>
          <w:iCs/>
          <w:u w:val="single"/>
          <w:lang w:val="en-GB" w:eastAsia="zh-CN"/>
        </w:rPr>
        <w:t>IP connection establishment is available)</w:t>
      </w:r>
    </w:p>
    <w:p w14:paraId="1CE440FF" w14:textId="62372A6A" w:rsidR="00BC58E5" w:rsidRDefault="00BC58E5" w:rsidP="00DA2BB4">
      <w:pPr>
        <w:rPr>
          <w:lang w:eastAsia="zh-CN"/>
        </w:rPr>
      </w:pPr>
      <w:r>
        <w:rPr>
          <w:rFonts w:hint="eastAsia"/>
          <w:lang w:val="en-GB" w:eastAsia="zh-CN"/>
        </w:rPr>
        <w:t>In</w:t>
      </w:r>
      <w:r>
        <w:rPr>
          <w:lang w:eastAsia="zh-CN"/>
        </w:rPr>
        <w:t xml:space="preserve"> this option, </w:t>
      </w:r>
      <w:r w:rsidR="00C5319D">
        <w:rPr>
          <w:lang w:eastAsia="zh-CN"/>
        </w:rPr>
        <w:t>the mobile IAB-node first performs partial migration towards the target IAB-donor CU</w:t>
      </w:r>
      <w:r w:rsidR="00CE313E">
        <w:rPr>
          <w:lang w:eastAsia="zh-CN"/>
        </w:rPr>
        <w:t xml:space="preserve">, </w:t>
      </w:r>
      <w:r w:rsidR="00603C1E">
        <w:rPr>
          <w:lang w:eastAsia="zh-CN"/>
        </w:rPr>
        <w:t xml:space="preserve">establishes the new logical DU2 connected to target IAB-donor CU2 and </w:t>
      </w:r>
      <w:r w:rsidR="00CE313E">
        <w:rPr>
          <w:lang w:eastAsia="zh-CN"/>
        </w:rPr>
        <w:t xml:space="preserve">then </w:t>
      </w:r>
      <w:r w:rsidR="00603C1E">
        <w:rPr>
          <w:lang w:eastAsia="zh-CN"/>
        </w:rPr>
        <w:t>performs the HO of the served UEs</w:t>
      </w:r>
      <w:r w:rsidR="00A97B29">
        <w:rPr>
          <w:lang w:eastAsia="zh-CN"/>
        </w:rPr>
        <w:t xml:space="preserve"> </w:t>
      </w:r>
      <w:r w:rsidR="00603C1E">
        <w:rPr>
          <w:lang w:eastAsia="zh-CN"/>
        </w:rPr>
        <w:t xml:space="preserve">to DU2 and </w:t>
      </w:r>
      <w:r w:rsidR="00A97B29">
        <w:rPr>
          <w:lang w:eastAsia="zh-CN"/>
        </w:rPr>
        <w:t xml:space="preserve">towards the target IAB-donor CU. </w:t>
      </w:r>
      <w:r w:rsidR="005E0922">
        <w:rPr>
          <w:lang w:eastAsia="zh-CN"/>
        </w:rPr>
        <w:t xml:space="preserve">  This is shown in the Figure 2 below.</w:t>
      </w:r>
    </w:p>
    <w:p w14:paraId="255E542C" w14:textId="5AA42120" w:rsidR="005C4BD2" w:rsidRDefault="00800F96" w:rsidP="00DA2BB4">
      <w:pPr>
        <w:rPr>
          <w:lang w:eastAsia="zh-CN"/>
        </w:rPr>
      </w:pPr>
      <w:r>
        <w:object w:dxaOrig="18946" w:dyaOrig="4560" w14:anchorId="2ECFDB4D">
          <v:shape id="_x0000_i1026" type="#_x0000_t75" style="width:446.4pt;height:108.3pt" o:ole="">
            <v:imagedata r:id="rId13" o:title=""/>
          </v:shape>
          <o:OLEObject Type="Embed" ProgID="Visio.Drawing.15" ShapeID="_x0000_i1026" DrawAspect="Content" ObjectID="_1721508007" r:id="rId14"/>
        </w:object>
      </w:r>
    </w:p>
    <w:p w14:paraId="44A1E66A" w14:textId="2519F363" w:rsidR="002C3775" w:rsidRPr="008A30D2" w:rsidRDefault="002C3775" w:rsidP="008A30D2">
      <w:pPr>
        <w:pStyle w:val="Caption"/>
        <w:jc w:val="center"/>
      </w:pPr>
      <w:r w:rsidRPr="00DD1296">
        <w:rPr>
          <w:bCs/>
        </w:rPr>
        <w:t xml:space="preserve">Figure </w:t>
      </w:r>
      <w:r w:rsidRPr="000454F8">
        <w:t>2.</w:t>
      </w:r>
      <w:r w:rsidRPr="00DD1296">
        <w:rPr>
          <w:bCs/>
        </w:rPr>
        <w:t xml:space="preserve"> </w:t>
      </w:r>
      <w:r w:rsidR="004807F9">
        <w:rPr>
          <w:bCs/>
        </w:rPr>
        <w:t xml:space="preserve">Full migration based on partial migration </w:t>
      </w:r>
      <w:r w:rsidRPr="00DD1296">
        <w:rPr>
          <w:bCs/>
        </w:rPr>
        <w:t>of mobile IAB-node</w:t>
      </w:r>
    </w:p>
    <w:p w14:paraId="7E398209" w14:textId="2DB0ACC8" w:rsidR="00BC58E5" w:rsidRPr="009C132D" w:rsidRDefault="00BC58E5" w:rsidP="00BC58E5">
      <w:pPr>
        <w:rPr>
          <w:i/>
          <w:iCs/>
          <w:u w:val="single"/>
          <w:lang w:val="en-GB" w:eastAsia="zh-CN"/>
        </w:rPr>
      </w:pPr>
      <w:r w:rsidRPr="009C132D">
        <w:rPr>
          <w:i/>
          <w:iCs/>
          <w:u w:val="single"/>
          <w:lang w:val="en-GB" w:eastAsia="zh-CN"/>
        </w:rPr>
        <w:t>Option 2: standalone full migration (</w:t>
      </w:r>
      <w:r w:rsidR="00BC47D7">
        <w:rPr>
          <w:i/>
          <w:iCs/>
          <w:u w:val="single"/>
          <w:lang w:val="en-GB" w:eastAsia="zh-CN"/>
        </w:rPr>
        <w:t xml:space="preserve">if </w:t>
      </w:r>
      <w:r w:rsidRPr="009C132D">
        <w:rPr>
          <w:i/>
          <w:iCs/>
          <w:u w:val="single"/>
          <w:lang w:val="en-GB" w:eastAsia="zh-CN"/>
        </w:rPr>
        <w:t>IP connection establishment is not available)</w:t>
      </w:r>
    </w:p>
    <w:p w14:paraId="6238E6E9" w14:textId="177CC5DE" w:rsidR="00DA2BB4" w:rsidRDefault="00A97B29" w:rsidP="00DA2BB4">
      <w:pPr>
        <w:rPr>
          <w:lang w:val="en-GB" w:eastAsia="zh-CN"/>
        </w:rPr>
      </w:pPr>
      <w:r>
        <w:rPr>
          <w:lang w:val="en-GB" w:eastAsia="zh-CN"/>
        </w:rPr>
        <w:t xml:space="preserve">In this option, </w:t>
      </w:r>
      <w:r w:rsidR="0052551B">
        <w:rPr>
          <w:lang w:val="en-GB" w:eastAsia="zh-CN"/>
        </w:rPr>
        <w:t xml:space="preserve">the </w:t>
      </w:r>
      <w:r w:rsidR="00AD7411">
        <w:rPr>
          <w:lang w:val="en-GB" w:eastAsia="zh-CN"/>
        </w:rPr>
        <w:t xml:space="preserve">mobile IAB-node migrates both Uu interface and F1 termination towards the target IAB-donor CU, without </w:t>
      </w:r>
      <w:r w:rsidR="00770FBB">
        <w:rPr>
          <w:lang w:val="en-GB" w:eastAsia="zh-CN"/>
        </w:rPr>
        <w:t>establishing IP connection with source IAB-donor CU.</w:t>
      </w:r>
      <w:r w:rsidR="005E0922">
        <w:rPr>
          <w:lang w:val="en-GB" w:eastAsia="zh-CN"/>
        </w:rPr>
        <w:t xml:space="preserve">  The served UEs are also moved to target IAB-donor CU2 as part of the same procedure.  That is, the full migration is just one big procedure that requires all of the sub</w:t>
      </w:r>
      <w:r w:rsidR="00771B45">
        <w:rPr>
          <w:lang w:val="en-GB" w:eastAsia="zh-CN"/>
        </w:rPr>
        <w:t>-</w:t>
      </w:r>
      <w:r w:rsidR="005E0922">
        <w:rPr>
          <w:lang w:val="en-GB" w:eastAsia="zh-CN"/>
        </w:rPr>
        <w:t xml:space="preserve">procedures to be executed within that </w:t>
      </w:r>
      <w:r w:rsidR="00771B45">
        <w:rPr>
          <w:lang w:val="en-GB" w:eastAsia="zh-CN"/>
        </w:rPr>
        <w:t>big procedure in one step.</w:t>
      </w:r>
    </w:p>
    <w:p w14:paraId="6DBF89C4" w14:textId="3C0BA034" w:rsidR="000F6492" w:rsidRDefault="00BA03BA" w:rsidP="0052551B">
      <w:pPr>
        <w:jc w:val="center"/>
      </w:pPr>
      <w:r>
        <w:object w:dxaOrig="11655" w:dyaOrig="4906" w14:anchorId="3ECA5A7F">
          <v:shape id="_x0000_i1027" type="#_x0000_t75" style="width:308.15pt;height:129.6pt" o:ole="">
            <v:imagedata r:id="rId15" o:title=""/>
          </v:shape>
          <o:OLEObject Type="Embed" ProgID="Visio.Drawing.15" ShapeID="_x0000_i1027" DrawAspect="Content" ObjectID="_1721508008" r:id="rId16"/>
        </w:object>
      </w:r>
    </w:p>
    <w:p w14:paraId="250DAE2E" w14:textId="1556F822" w:rsidR="004807F9" w:rsidRPr="008A30D2" w:rsidRDefault="004807F9" w:rsidP="008A30D2">
      <w:pPr>
        <w:pStyle w:val="Caption"/>
        <w:jc w:val="center"/>
      </w:pPr>
      <w:r w:rsidRPr="00DD1296">
        <w:rPr>
          <w:bCs/>
        </w:rPr>
        <w:t xml:space="preserve">Figure </w:t>
      </w:r>
      <w:r w:rsidRPr="000454F8">
        <w:t>3.</w:t>
      </w:r>
      <w:r w:rsidRPr="00DD1296">
        <w:rPr>
          <w:bCs/>
        </w:rPr>
        <w:t xml:space="preserve"> </w:t>
      </w:r>
      <w:r>
        <w:rPr>
          <w:bCs/>
        </w:rPr>
        <w:t xml:space="preserve">Standalone Full migration </w:t>
      </w:r>
      <w:r w:rsidRPr="00DD1296">
        <w:rPr>
          <w:bCs/>
        </w:rPr>
        <w:t>of mobile IAB-node</w:t>
      </w:r>
    </w:p>
    <w:p w14:paraId="3D503581" w14:textId="53960B9E" w:rsidR="00880E15" w:rsidRDefault="00880E15" w:rsidP="00C21771">
      <w:pPr>
        <w:rPr>
          <w:lang w:eastAsia="zh-CN"/>
        </w:rPr>
      </w:pPr>
    </w:p>
    <w:p w14:paraId="07D56636" w14:textId="17E8BAAC" w:rsidR="008B4517" w:rsidRDefault="008B4517" w:rsidP="001A6617">
      <w:pPr>
        <w:pStyle w:val="Obs-prop"/>
        <w:rPr>
          <w:lang w:eastAsia="zh-CN"/>
        </w:rPr>
      </w:pPr>
      <w:r w:rsidRPr="003D6112">
        <w:rPr>
          <w:lang w:eastAsia="zh-CN"/>
        </w:rPr>
        <w:t xml:space="preserve">Observation </w:t>
      </w:r>
      <w:r w:rsidR="001A6617">
        <w:rPr>
          <w:lang w:eastAsia="zh-CN"/>
        </w:rPr>
        <w:t>3</w:t>
      </w:r>
      <w:r w:rsidRPr="003D6112">
        <w:rPr>
          <w:lang w:eastAsia="zh-CN"/>
        </w:rPr>
        <w:t xml:space="preserve">: </w:t>
      </w:r>
      <w:r w:rsidR="00FA4948">
        <w:rPr>
          <w:lang w:eastAsia="zh-CN"/>
        </w:rPr>
        <w:t xml:space="preserve">Based on the availability of IP connection </w:t>
      </w:r>
      <w:r w:rsidR="00282C89">
        <w:rPr>
          <w:lang w:eastAsia="zh-CN"/>
        </w:rPr>
        <w:t xml:space="preserve">establishment between target donor DU and source donor CU, </w:t>
      </w:r>
      <w:r w:rsidR="00FA4948">
        <w:rPr>
          <w:lang w:eastAsia="zh-CN"/>
        </w:rPr>
        <w:t xml:space="preserve">there are two options </w:t>
      </w:r>
      <w:r w:rsidR="00800F96">
        <w:rPr>
          <w:lang w:eastAsia="zh-CN"/>
        </w:rPr>
        <w:t xml:space="preserve">that </w:t>
      </w:r>
      <w:r w:rsidR="00FA4948">
        <w:rPr>
          <w:lang w:eastAsia="zh-CN"/>
        </w:rPr>
        <w:t>can be considered</w:t>
      </w:r>
      <w:r w:rsidR="00282C89">
        <w:rPr>
          <w:lang w:eastAsia="zh-CN"/>
        </w:rPr>
        <w:t xml:space="preserve"> for mobile IAB-node’s full migration:</w:t>
      </w:r>
    </w:p>
    <w:p w14:paraId="662DF28A" w14:textId="796319B1" w:rsidR="00FA4948" w:rsidRPr="008A30D2" w:rsidRDefault="00FA4948" w:rsidP="00C21771">
      <w:pPr>
        <w:pStyle w:val="Obs-prop"/>
      </w:pPr>
      <w:r>
        <w:rPr>
          <w:lang w:eastAsia="zh-CN"/>
        </w:rPr>
        <w:t>1)</w:t>
      </w:r>
      <w:r w:rsidRPr="00FA4948">
        <w:t xml:space="preserve"> </w:t>
      </w:r>
      <w:r w:rsidRPr="00FA4948">
        <w:rPr>
          <w:lang w:eastAsia="zh-CN"/>
        </w:rPr>
        <w:t>Option 1: partial migration based full migration (</w:t>
      </w:r>
      <w:r w:rsidR="00BC47D7">
        <w:rPr>
          <w:lang w:eastAsia="zh-CN"/>
        </w:rPr>
        <w:t xml:space="preserve">if </w:t>
      </w:r>
      <w:r w:rsidRPr="00FA4948">
        <w:rPr>
          <w:lang w:eastAsia="zh-CN"/>
        </w:rPr>
        <w:t>IP connecti</w:t>
      </w:r>
      <w:r w:rsidRPr="008A30D2">
        <w:t xml:space="preserve">on </w:t>
      </w:r>
      <w:r w:rsidR="00771B45">
        <w:t xml:space="preserve">between IAB-donor-DU2 and IAB donor CU1 </w:t>
      </w:r>
      <w:r w:rsidRPr="008A30D2">
        <w:t>is available)</w:t>
      </w:r>
    </w:p>
    <w:p w14:paraId="49DF4259" w14:textId="27683E32" w:rsidR="00FA4948" w:rsidRPr="003D6112" w:rsidRDefault="00FA4948" w:rsidP="00C21771">
      <w:pPr>
        <w:pStyle w:val="Obs-prop"/>
        <w:rPr>
          <w:lang w:eastAsia="zh-CN"/>
        </w:rPr>
      </w:pPr>
      <w:r>
        <w:rPr>
          <w:lang w:eastAsia="zh-CN"/>
        </w:rPr>
        <w:t>2)</w:t>
      </w:r>
      <w:r w:rsidRPr="00FA4948">
        <w:t xml:space="preserve"> </w:t>
      </w:r>
      <w:r w:rsidRPr="00FA4948">
        <w:rPr>
          <w:lang w:eastAsia="zh-CN"/>
        </w:rPr>
        <w:t xml:space="preserve">Option 2: standalone full migration </w:t>
      </w:r>
      <w:r w:rsidR="00771B45" w:rsidRPr="00FA4948">
        <w:rPr>
          <w:lang w:eastAsia="zh-CN"/>
        </w:rPr>
        <w:t>(</w:t>
      </w:r>
      <w:r w:rsidR="00771B45">
        <w:rPr>
          <w:lang w:eastAsia="zh-CN"/>
        </w:rPr>
        <w:t xml:space="preserve">if </w:t>
      </w:r>
      <w:r w:rsidR="00771B45" w:rsidRPr="00FA4948">
        <w:rPr>
          <w:lang w:eastAsia="zh-CN"/>
        </w:rPr>
        <w:t>IP connecti</w:t>
      </w:r>
      <w:r w:rsidR="00771B45" w:rsidRPr="00631D89">
        <w:t xml:space="preserve">on </w:t>
      </w:r>
      <w:r w:rsidR="00771B45">
        <w:t xml:space="preserve">between IAB-donor-DU2 and IAB donor CU1 </w:t>
      </w:r>
      <w:r w:rsidR="00771B45" w:rsidRPr="00631D89">
        <w:t xml:space="preserve">is </w:t>
      </w:r>
      <w:r w:rsidR="00771B45" w:rsidRPr="008A30D2">
        <w:rPr>
          <w:u w:val="single"/>
        </w:rPr>
        <w:t>not</w:t>
      </w:r>
      <w:r w:rsidR="00771B45">
        <w:t xml:space="preserve"> </w:t>
      </w:r>
      <w:r w:rsidR="00771B45" w:rsidRPr="00631D89">
        <w:t>available)</w:t>
      </w:r>
      <w:r w:rsidR="00771B45" w:rsidRPr="00FA4948" w:rsidDel="00771B45">
        <w:rPr>
          <w:lang w:eastAsia="zh-CN"/>
        </w:rPr>
        <w:t xml:space="preserve"> </w:t>
      </w:r>
    </w:p>
    <w:p w14:paraId="21D13B75" w14:textId="45D650D3" w:rsidR="00770FBB" w:rsidRDefault="00770FBB" w:rsidP="00770FBB">
      <w:pPr>
        <w:rPr>
          <w:lang w:val="en-GB" w:eastAsia="zh-CN"/>
        </w:rPr>
      </w:pPr>
      <w:r>
        <w:rPr>
          <w:lang w:val="en-GB" w:eastAsia="zh-CN"/>
        </w:rPr>
        <w:t xml:space="preserve">In the following contribution, we </w:t>
      </w:r>
      <w:r w:rsidR="006628BB">
        <w:rPr>
          <w:lang w:val="en-GB" w:eastAsia="zh-CN"/>
        </w:rPr>
        <w:t>further analyze RAN2 impact based on above two full migration options.</w:t>
      </w:r>
      <w:r w:rsidR="007F7F4E">
        <w:rPr>
          <w:lang w:val="en-GB" w:eastAsia="zh-CN"/>
        </w:rPr>
        <w:t xml:space="preserve"> </w:t>
      </w:r>
    </w:p>
    <w:bookmarkEnd w:id="0"/>
    <w:p w14:paraId="7F3EA9BA" w14:textId="083B57C0" w:rsidR="00526756" w:rsidRDefault="00526756" w:rsidP="00135456">
      <w:pPr>
        <w:pStyle w:val="Heading3"/>
      </w:pPr>
      <w:r>
        <w:t xml:space="preserve">Full </w:t>
      </w:r>
      <w:r w:rsidR="00936B35">
        <w:t>Migration</w:t>
      </w:r>
      <w:r>
        <w:t xml:space="preserve"> </w:t>
      </w:r>
      <w:r w:rsidR="00936B35">
        <w:t>I</w:t>
      </w:r>
      <w:r>
        <w:t xml:space="preserve">mpact </w:t>
      </w:r>
      <w:r w:rsidR="00936B35">
        <w:t>on</w:t>
      </w:r>
      <w:r>
        <w:t xml:space="preserve"> </w:t>
      </w:r>
      <w:r w:rsidR="00B20BC5">
        <w:t xml:space="preserve">mIAB-node and </w:t>
      </w:r>
      <w:r>
        <w:t>served UEs</w:t>
      </w:r>
    </w:p>
    <w:p w14:paraId="682B3DBA" w14:textId="2589F857" w:rsidR="00833D5B" w:rsidRPr="00833D5B" w:rsidRDefault="00833D5B" w:rsidP="00833D5B">
      <w:pPr>
        <w:rPr>
          <w:lang w:val="en-GB"/>
        </w:rPr>
      </w:pPr>
      <w:r>
        <w:rPr>
          <w:lang w:val="en-GB"/>
        </w:rPr>
        <w:t xml:space="preserve">Full migration impact on </w:t>
      </w:r>
      <w:proofErr w:type="spellStart"/>
      <w:r>
        <w:rPr>
          <w:lang w:val="en-GB"/>
        </w:rPr>
        <w:t>mIAB</w:t>
      </w:r>
      <w:proofErr w:type="spellEnd"/>
      <w:r>
        <w:rPr>
          <w:lang w:val="en-GB"/>
        </w:rPr>
        <w:t xml:space="preserve">-node and serve UEs </w:t>
      </w:r>
      <w:r w:rsidR="000963FA">
        <w:rPr>
          <w:lang w:val="en-GB"/>
        </w:rPr>
        <w:t>are</w:t>
      </w:r>
      <w:r>
        <w:rPr>
          <w:lang w:val="en-GB"/>
        </w:rPr>
        <w:t xml:space="preserve"> discussed for each options. </w:t>
      </w:r>
    </w:p>
    <w:p w14:paraId="17FD3CD7" w14:textId="5CD3C369" w:rsidR="00135456" w:rsidRDefault="00E02B6F" w:rsidP="00E445B6">
      <w:pPr>
        <w:pStyle w:val="Heading4"/>
      </w:pPr>
      <w:r>
        <w:t xml:space="preserve">Option 1 – Partial migration based </w:t>
      </w:r>
      <w:r w:rsidR="00240625">
        <w:t xml:space="preserve">Full Migration </w:t>
      </w:r>
    </w:p>
    <w:p w14:paraId="4A19D462" w14:textId="2EAE3EDB" w:rsidR="000F61D8" w:rsidRDefault="00234D63" w:rsidP="00135456">
      <w:pPr>
        <w:rPr>
          <w:lang w:val="en-GB"/>
        </w:rPr>
      </w:pPr>
      <w:r>
        <w:rPr>
          <w:lang w:val="en-GB"/>
        </w:rPr>
        <w:t>T</w:t>
      </w:r>
      <w:r w:rsidR="003B2C3B">
        <w:rPr>
          <w:lang w:val="en-GB"/>
        </w:rPr>
        <w:t xml:space="preserve">he mobile IAB-node first performs </w:t>
      </w:r>
      <w:r w:rsidR="003725EA">
        <w:rPr>
          <w:lang w:val="en-GB"/>
        </w:rPr>
        <w:t>partial migration before its mobile IAB-DU</w:t>
      </w:r>
      <w:r w:rsidR="00A67CAA">
        <w:rPr>
          <w:lang w:val="en-GB"/>
        </w:rPr>
        <w:t>’s F1 setup towards the target IAB-donor CU</w:t>
      </w:r>
      <w:r w:rsidR="00512342">
        <w:rPr>
          <w:lang w:val="en-GB"/>
        </w:rPr>
        <w:t xml:space="preserve"> as shown in figure 2</w:t>
      </w:r>
      <w:r w:rsidR="00142BE9">
        <w:rPr>
          <w:lang w:val="en-GB"/>
        </w:rPr>
        <w:t>.</w:t>
      </w:r>
      <w:r w:rsidR="00A67CAA">
        <w:rPr>
          <w:lang w:val="en-GB"/>
        </w:rPr>
        <w:t xml:space="preserve"> </w:t>
      </w:r>
      <w:r w:rsidR="00142BE9">
        <w:rPr>
          <w:lang w:val="en-GB"/>
        </w:rPr>
        <w:t>D</w:t>
      </w:r>
      <w:r w:rsidR="00A67CAA">
        <w:rPr>
          <w:lang w:val="en-GB"/>
        </w:rPr>
        <w:t xml:space="preserve">uring </w:t>
      </w:r>
      <w:r w:rsidR="00142BE9">
        <w:rPr>
          <w:lang w:val="en-GB"/>
        </w:rPr>
        <w:t xml:space="preserve">the partial migration </w:t>
      </w:r>
      <w:r>
        <w:rPr>
          <w:lang w:val="en-GB"/>
        </w:rPr>
        <w:t>period</w:t>
      </w:r>
      <w:r w:rsidR="00142BE9">
        <w:rPr>
          <w:lang w:val="en-GB"/>
        </w:rPr>
        <w:t xml:space="preserve"> the source IAB-CU continues to be the CU </w:t>
      </w:r>
      <w:r w:rsidR="00C74DFE">
        <w:rPr>
          <w:lang w:val="en-GB"/>
        </w:rPr>
        <w:t xml:space="preserve">for </w:t>
      </w:r>
      <w:r w:rsidR="00142BE9">
        <w:rPr>
          <w:lang w:val="en-GB"/>
        </w:rPr>
        <w:t>the UEs and</w:t>
      </w:r>
      <w:r>
        <w:rPr>
          <w:lang w:val="en-GB"/>
        </w:rPr>
        <w:t xml:space="preserve"> the </w:t>
      </w:r>
      <w:r w:rsidR="00C74DFE">
        <w:rPr>
          <w:lang w:val="en-GB"/>
        </w:rPr>
        <w:t xml:space="preserve">partial migration </w:t>
      </w:r>
      <w:r>
        <w:rPr>
          <w:lang w:val="en-GB"/>
        </w:rPr>
        <w:t xml:space="preserve">procedure </w:t>
      </w:r>
      <w:r w:rsidR="00A67CAA">
        <w:rPr>
          <w:lang w:val="en-GB"/>
        </w:rPr>
        <w:t>is transparent to the served UEs.</w:t>
      </w:r>
      <w:r w:rsidR="000F61D8">
        <w:rPr>
          <w:lang w:val="en-GB"/>
        </w:rPr>
        <w:t xml:space="preserve">  </w:t>
      </w:r>
    </w:p>
    <w:p w14:paraId="74D944DE" w14:textId="3908EE8F" w:rsidR="00455536" w:rsidRDefault="00455536" w:rsidP="00135456">
      <w:pPr>
        <w:rPr>
          <w:lang w:val="en-GB"/>
        </w:rPr>
      </w:pPr>
      <w:r>
        <w:rPr>
          <w:lang w:val="en-GB"/>
        </w:rPr>
        <w:lastRenderedPageBreak/>
        <w:t xml:space="preserve">RAN3 discussed a few options on how to handle partial migration based full migration. </w:t>
      </w:r>
      <w:r w:rsidR="00784FF3">
        <w:rPr>
          <w:lang w:val="en-GB"/>
        </w:rPr>
        <w:t xml:space="preserve">One of the solutions </w:t>
      </w:r>
      <w:r w:rsidR="00110D3A">
        <w:rPr>
          <w:lang w:val="en-GB"/>
        </w:rPr>
        <w:t xml:space="preserve">that was discussed was to use two logical DUs that connect to the source IAB-donor CU and target IAB-donor CU during the migration.  </w:t>
      </w:r>
    </w:p>
    <w:p w14:paraId="119708F6" w14:textId="07DAED96" w:rsidR="000B27B8" w:rsidRDefault="000B27B8" w:rsidP="00135456">
      <w:pPr>
        <w:rPr>
          <w:lang w:val="en-GB"/>
        </w:rPr>
      </w:pPr>
      <w:r>
        <w:rPr>
          <w:lang w:val="en-GB"/>
        </w:rPr>
        <w:t xml:space="preserve">During Rel-17 discussion, </w:t>
      </w:r>
      <w:r w:rsidR="00570F0E">
        <w:rPr>
          <w:lang w:val="en-GB" w:eastAsia="zh-CN"/>
        </w:rPr>
        <w:t>it is still open whether two logical DUs use separate or same physical cell resources.</w:t>
      </w:r>
      <w:r w:rsidR="00570F0E">
        <w:rPr>
          <w:lang w:val="en-GB"/>
        </w:rPr>
        <w:t xml:space="preserve"> RAN3 sent a LS to RAN1/2/4 asking about whether following two alternatives can be supported. Based on RAN1 reply LS [</w:t>
      </w:r>
      <w:r w:rsidR="00FC54D3">
        <w:rPr>
          <w:lang w:val="en-GB"/>
        </w:rPr>
        <w:t>3</w:t>
      </w:r>
      <w:r w:rsidR="00570F0E">
        <w:rPr>
          <w:lang w:val="en-GB"/>
        </w:rPr>
        <w:t>], separate physical cell resources of two logical DUs refers to either different carriers or orthogonal time and frequency resources of the same carrier. From RAN2 point of view, as long as the UE can treat two logical DUs as different cells, it can be supported [</w:t>
      </w:r>
      <w:r w:rsidR="00FC54D3">
        <w:rPr>
          <w:lang w:val="en-GB"/>
        </w:rPr>
        <w:t>4</w:t>
      </w:r>
      <w:r w:rsidR="00570F0E">
        <w:rPr>
          <w:lang w:val="en-GB"/>
        </w:rPr>
        <w:t>].</w:t>
      </w:r>
    </w:p>
    <w:tbl>
      <w:tblPr>
        <w:tblStyle w:val="TableGrid"/>
        <w:tblW w:w="0" w:type="auto"/>
        <w:tblLook w:val="04A0" w:firstRow="1" w:lastRow="0" w:firstColumn="1" w:lastColumn="0" w:noHBand="0" w:noVBand="1"/>
      </w:tblPr>
      <w:tblGrid>
        <w:gridCol w:w="9350"/>
      </w:tblGrid>
      <w:tr w:rsidR="00783B9F" w14:paraId="1F87AD1B" w14:textId="77777777" w:rsidTr="00783B9F">
        <w:tc>
          <w:tcPr>
            <w:tcW w:w="9350" w:type="dxa"/>
          </w:tcPr>
          <w:p w14:paraId="3308A121" w14:textId="77777777" w:rsidR="00783B9F" w:rsidRPr="00604D4B" w:rsidRDefault="00783B9F" w:rsidP="00783B9F">
            <w:pPr>
              <w:spacing w:before="120" w:line="256" w:lineRule="auto"/>
              <w:jc w:val="both"/>
              <w:rPr>
                <w:b/>
                <w:bCs/>
                <w:i/>
                <w:iCs/>
                <w:lang w:eastAsia="zh-CN"/>
              </w:rPr>
            </w:pPr>
            <w:r w:rsidRPr="00604D4B">
              <w:rPr>
                <w:b/>
                <w:bCs/>
                <w:i/>
                <w:iCs/>
                <w:lang w:eastAsia="zh-CN"/>
              </w:rPr>
              <w:t>R1-2108529</w:t>
            </w:r>
          </w:p>
          <w:p w14:paraId="6D1A2AEE" w14:textId="77777777" w:rsidR="00783B9F" w:rsidRDefault="00783B9F" w:rsidP="00783B9F">
            <w:pPr>
              <w:spacing w:before="120" w:line="256" w:lineRule="auto"/>
              <w:jc w:val="both"/>
              <w:rPr>
                <w:rFonts w:ascii="Arial" w:eastAsiaTheme="minorEastAsia" w:hAnsi="Arial" w:cs="Arial"/>
                <w:sz w:val="22"/>
                <w:szCs w:val="22"/>
                <w:lang w:eastAsia="zh-CN"/>
              </w:rPr>
            </w:pPr>
            <w:r w:rsidRPr="00212FDA">
              <w:rPr>
                <w:lang w:eastAsia="zh-CN"/>
              </w:rPr>
              <w:t>For Alt1, RAN1 understands that the separate physical cell resources used by the two logical DUs may refer to different carriers, or orthogonal time and frequency resources of the same carrier. RAN1 has not identified any technical issues for Alt1.</w:t>
            </w:r>
            <w:r>
              <w:rPr>
                <w:rFonts w:ascii="Arial" w:eastAsiaTheme="minorEastAsia" w:hAnsi="Arial" w:cs="Arial"/>
                <w:sz w:val="22"/>
                <w:szCs w:val="22"/>
                <w:lang w:eastAsia="zh-CN"/>
              </w:rPr>
              <w:t xml:space="preserve"> </w:t>
            </w:r>
          </w:p>
          <w:p w14:paraId="1FEDD24A" w14:textId="77777777" w:rsidR="00783B9F" w:rsidRPr="00604D4B" w:rsidRDefault="00783B9F" w:rsidP="00783B9F">
            <w:pPr>
              <w:spacing w:before="120" w:line="256" w:lineRule="auto"/>
              <w:jc w:val="both"/>
              <w:rPr>
                <w:b/>
                <w:bCs/>
                <w:i/>
                <w:iCs/>
                <w:lang w:eastAsia="zh-CN"/>
              </w:rPr>
            </w:pPr>
            <w:r w:rsidRPr="00604D4B">
              <w:rPr>
                <w:b/>
                <w:bCs/>
                <w:i/>
                <w:iCs/>
                <w:lang w:eastAsia="zh-CN"/>
              </w:rPr>
              <w:t>R2-2109143</w:t>
            </w:r>
          </w:p>
          <w:p w14:paraId="01A93508" w14:textId="77777777" w:rsidR="00783B9F" w:rsidRPr="00604D4B" w:rsidRDefault="00783B9F" w:rsidP="00783B9F">
            <w:pPr>
              <w:spacing w:after="0"/>
              <w:jc w:val="both"/>
              <w:rPr>
                <w:lang w:eastAsia="zh-CN"/>
              </w:rPr>
            </w:pPr>
            <w:r w:rsidRPr="00604D4B">
              <w:rPr>
                <w:lang w:eastAsia="zh-CN"/>
              </w:rPr>
              <w:t>With respect to the above description of Alt1 and the use of “separate” physical resources, RAN2 has reached the following understanding at RAN2#115-e:</w:t>
            </w:r>
          </w:p>
          <w:p w14:paraId="6700AA07" w14:textId="536426B5" w:rsidR="00783B9F" w:rsidRDefault="00783B9F" w:rsidP="00783B9F">
            <w:pPr>
              <w:rPr>
                <w:lang w:val="en-GB"/>
              </w:rPr>
            </w:pPr>
            <w:r>
              <w:t>R2 assumes that the UE need to be able to treat the separate resources as different cells on L1.</w:t>
            </w:r>
          </w:p>
        </w:tc>
      </w:tr>
    </w:tbl>
    <w:p w14:paraId="55AF2294" w14:textId="26B4AC55" w:rsidR="00601A39" w:rsidRDefault="0083441D" w:rsidP="00072091">
      <w:pPr>
        <w:keepNext/>
      </w:pPr>
      <w:r>
        <w:rPr>
          <w:lang w:val="en-GB"/>
        </w:rPr>
        <w:t xml:space="preserve">Based on these responses, </w:t>
      </w:r>
      <w:r w:rsidR="005C07A1">
        <w:rPr>
          <w:lang w:val="en-GB"/>
        </w:rPr>
        <w:t>unless an issue is identified (by any group)</w:t>
      </w:r>
      <w:r w:rsidR="00C36C03">
        <w:rPr>
          <w:lang w:val="en-GB"/>
        </w:rPr>
        <w:t xml:space="preserve">, RAN2 can assume </w:t>
      </w:r>
      <w:r w:rsidR="00817161">
        <w:rPr>
          <w:lang w:val="en-GB"/>
        </w:rPr>
        <w:t xml:space="preserve">that </w:t>
      </w:r>
      <w:r w:rsidR="00C36C03">
        <w:rPr>
          <w:lang w:val="en-GB"/>
        </w:rPr>
        <w:t xml:space="preserve">for partial migration based full migration, that two logical DUs </w:t>
      </w:r>
      <w:r w:rsidR="00150047">
        <w:rPr>
          <w:lang w:val="en-GB"/>
        </w:rPr>
        <w:t xml:space="preserve">have </w:t>
      </w:r>
      <w:r w:rsidR="00C36C03">
        <w:rPr>
          <w:lang w:val="en-GB"/>
        </w:rPr>
        <w:t xml:space="preserve">two </w:t>
      </w:r>
      <w:r w:rsidR="00150047">
        <w:rPr>
          <w:lang w:val="en-GB"/>
        </w:rPr>
        <w:t xml:space="preserve">different </w:t>
      </w:r>
      <w:r w:rsidR="00C36C03">
        <w:rPr>
          <w:lang w:val="en-GB"/>
        </w:rPr>
        <w:t xml:space="preserve">cells using different physical resources.  </w:t>
      </w:r>
    </w:p>
    <w:p w14:paraId="1DD342D5" w14:textId="77777777" w:rsidR="00601A39" w:rsidRDefault="00601A39">
      <w:pPr>
        <w:pStyle w:val="Caption"/>
        <w:jc w:val="center"/>
      </w:pPr>
    </w:p>
    <w:p w14:paraId="3C27A772" w14:textId="324C7BB7" w:rsidR="00601A39" w:rsidRDefault="00724240">
      <w:pPr>
        <w:pStyle w:val="Caption"/>
        <w:jc w:val="center"/>
      </w:pPr>
      <w:r>
        <w:object w:dxaOrig="16561" w:dyaOrig="10966" w14:anchorId="4F28C4F7">
          <v:shape id="_x0000_i1028" type="#_x0000_t75" style="width:480.95pt;height:318.55pt" o:ole="">
            <v:imagedata r:id="rId17" o:title=""/>
          </v:shape>
          <o:OLEObject Type="Embed" ProgID="Visio.Drawing.15" ShapeID="_x0000_i1028" DrawAspect="Content" ObjectID="_1721508009" r:id="rId18"/>
        </w:object>
      </w:r>
    </w:p>
    <w:p w14:paraId="7A41FD49" w14:textId="7C43FE2F" w:rsidR="00CF093E" w:rsidRPr="000454F8" w:rsidRDefault="00CF093E" w:rsidP="00C21771">
      <w:pPr>
        <w:pStyle w:val="Caption"/>
        <w:jc w:val="center"/>
      </w:pPr>
      <w:r w:rsidRPr="000454F8">
        <w:t xml:space="preserve">Figure </w:t>
      </w:r>
      <w:r w:rsidR="00B1325B">
        <w:rPr>
          <w:bCs/>
        </w:rPr>
        <w:t>4</w:t>
      </w:r>
      <w:r w:rsidRPr="00B1325B">
        <w:t xml:space="preserve">. </w:t>
      </w:r>
      <w:r w:rsidR="00724240" w:rsidRPr="00B1325B">
        <w:t xml:space="preserve">Simplified high level example message flow for </w:t>
      </w:r>
      <w:r w:rsidRPr="00B1325B">
        <w:t>Partial migration based Full migration procedure</w:t>
      </w:r>
    </w:p>
    <w:p w14:paraId="2CFBF3BB" w14:textId="3103C14D" w:rsidR="00C9047D" w:rsidRDefault="0086047A" w:rsidP="00F07F77">
      <w:pPr>
        <w:rPr>
          <w:lang w:val="en-GB"/>
        </w:rPr>
      </w:pPr>
      <w:r w:rsidRPr="0086047A">
        <w:rPr>
          <w:lang w:val="en-GB"/>
        </w:rPr>
        <w:lastRenderedPageBreak/>
        <w:t xml:space="preserve">Assuming </w:t>
      </w:r>
      <w:r>
        <w:rPr>
          <w:lang w:val="en-GB"/>
        </w:rPr>
        <w:t xml:space="preserve">two logical DUs </w:t>
      </w:r>
      <w:r w:rsidR="00EA30B2">
        <w:rPr>
          <w:lang w:val="en-GB"/>
        </w:rPr>
        <w:t xml:space="preserve">with separate </w:t>
      </w:r>
      <w:r w:rsidR="007E03C5">
        <w:rPr>
          <w:lang w:val="en-GB"/>
        </w:rPr>
        <w:t xml:space="preserve">physical cell resources </w:t>
      </w:r>
      <w:r>
        <w:rPr>
          <w:lang w:val="en-GB"/>
        </w:rPr>
        <w:t xml:space="preserve">are used during full migration </w:t>
      </w:r>
      <w:r w:rsidR="007E03C5">
        <w:rPr>
          <w:lang w:val="en-GB"/>
        </w:rPr>
        <w:t>O</w:t>
      </w:r>
      <w:r>
        <w:rPr>
          <w:lang w:val="en-GB"/>
        </w:rPr>
        <w:t xml:space="preserve">ption 1, </w:t>
      </w:r>
      <w:r w:rsidR="00F07F77">
        <w:rPr>
          <w:lang w:val="en-GB"/>
        </w:rPr>
        <w:t xml:space="preserve">as shown in Figure </w:t>
      </w:r>
      <w:r w:rsidR="00150047">
        <w:rPr>
          <w:lang w:val="en-GB"/>
        </w:rPr>
        <w:t>4</w:t>
      </w:r>
      <w:r w:rsidR="00F07F77">
        <w:rPr>
          <w:lang w:val="en-GB"/>
        </w:rPr>
        <w:t xml:space="preserve">, </w:t>
      </w:r>
      <w:r w:rsidR="007E03C5">
        <w:rPr>
          <w:lang w:val="en-GB"/>
        </w:rPr>
        <w:t xml:space="preserve">the served UEs can follow legacy handover procedure, where two logical DUs are treated as two separate cells for the </w:t>
      </w:r>
      <w:r w:rsidR="008D3D6D">
        <w:rPr>
          <w:lang w:val="en-GB"/>
        </w:rPr>
        <w:t>UE.</w:t>
      </w:r>
      <w:r w:rsidR="0041140F">
        <w:rPr>
          <w:lang w:val="en-GB"/>
        </w:rPr>
        <w:t xml:space="preserve"> Since mobile IAB can maintain simultaneous connection with two different IAB-donor CU</w:t>
      </w:r>
      <w:r w:rsidR="00FD29D4">
        <w:rPr>
          <w:lang w:val="en-GB"/>
        </w:rPr>
        <w:t>s</w:t>
      </w:r>
      <w:r w:rsidR="0041140F">
        <w:rPr>
          <w:lang w:val="en-GB"/>
        </w:rPr>
        <w:t xml:space="preserve"> via two logical </w:t>
      </w:r>
      <w:r w:rsidR="00150047">
        <w:rPr>
          <w:lang w:val="en-GB"/>
        </w:rPr>
        <w:t>mIAB-</w:t>
      </w:r>
      <w:r w:rsidR="0041140F">
        <w:rPr>
          <w:lang w:val="en-GB"/>
        </w:rPr>
        <w:t xml:space="preserve">DUs, the source IAB-donor CU can gradually trigger </w:t>
      </w:r>
      <w:r w:rsidR="000F554F">
        <w:rPr>
          <w:lang w:val="en-GB"/>
        </w:rPr>
        <w:t>served UEs’ handover procedure</w:t>
      </w:r>
      <w:r w:rsidR="00D11C4B">
        <w:rPr>
          <w:lang w:val="en-GB"/>
        </w:rPr>
        <w:t xml:space="preserve"> to spread the UE HO procedure over time to avoid congestion</w:t>
      </w:r>
      <w:r w:rsidR="00FA4133">
        <w:rPr>
          <w:lang w:val="en-GB"/>
        </w:rPr>
        <w:t xml:space="preserve"> from simultaneous HO</w:t>
      </w:r>
      <w:r w:rsidR="00150047">
        <w:rPr>
          <w:lang w:val="en-GB"/>
        </w:rPr>
        <w:t>s</w:t>
      </w:r>
      <w:r w:rsidR="000F554F">
        <w:rPr>
          <w:lang w:val="en-GB"/>
        </w:rPr>
        <w:t>.</w:t>
      </w:r>
      <w:r w:rsidR="00F07F77">
        <w:rPr>
          <w:lang w:val="en-GB"/>
        </w:rPr>
        <w:t xml:space="preserve"> </w:t>
      </w:r>
      <w:r w:rsidR="004A1BE8">
        <w:rPr>
          <w:lang w:val="en-GB"/>
        </w:rPr>
        <w:t>This could be done in groups of UEs to minimise network interface signalling</w:t>
      </w:r>
      <w:r w:rsidR="00EF014E">
        <w:rPr>
          <w:lang w:val="en-GB"/>
        </w:rPr>
        <w:t xml:space="preserve">.  </w:t>
      </w:r>
      <w:r w:rsidR="00C9047D">
        <w:rPr>
          <w:lang w:val="en-GB"/>
        </w:rPr>
        <w:t xml:space="preserve"> </w:t>
      </w:r>
    </w:p>
    <w:p w14:paraId="79C3ECA6" w14:textId="781B81A2" w:rsidR="00EF014E" w:rsidRDefault="00C9047D" w:rsidP="00F07F77">
      <w:pPr>
        <w:rPr>
          <w:lang w:val="en-GB"/>
        </w:rPr>
      </w:pPr>
      <w:r>
        <w:rPr>
          <w:lang w:val="en-GB"/>
        </w:rPr>
        <w:t xml:space="preserve">Assuming the two logical DUs will use two </w:t>
      </w:r>
      <w:r w:rsidR="00150047">
        <w:rPr>
          <w:lang w:val="en-GB"/>
        </w:rPr>
        <w:t xml:space="preserve">different </w:t>
      </w:r>
      <w:r>
        <w:rPr>
          <w:lang w:val="en-GB"/>
        </w:rPr>
        <w:t xml:space="preserve">cells, from RAN2 perspective, legacy HO procedures </w:t>
      </w:r>
      <w:r w:rsidR="00FB1652">
        <w:rPr>
          <w:lang w:val="en-GB"/>
        </w:rPr>
        <w:t xml:space="preserve">with key change </w:t>
      </w:r>
      <w:r>
        <w:rPr>
          <w:lang w:val="en-GB"/>
        </w:rPr>
        <w:t>can be used towards the served UEs</w:t>
      </w:r>
      <w:r w:rsidR="00FB1652">
        <w:rPr>
          <w:lang w:val="en-GB"/>
        </w:rPr>
        <w:t xml:space="preserve"> to move the UEs from the source cell/source IAB-donor-CU the target cell/target IAB-donor CU in the same mIAB node</w:t>
      </w:r>
      <w:r>
        <w:rPr>
          <w:lang w:val="en-GB"/>
        </w:rPr>
        <w:t>.</w:t>
      </w:r>
    </w:p>
    <w:p w14:paraId="49BB44F5" w14:textId="52491BD0" w:rsidR="00F07F77" w:rsidRDefault="00D37AE9" w:rsidP="00F07F77">
      <w:pPr>
        <w:rPr>
          <w:lang w:val="en-GB"/>
        </w:rPr>
      </w:pPr>
      <w:r>
        <w:rPr>
          <w:lang w:val="en-GB"/>
        </w:rPr>
        <w:t>In summary, p</w:t>
      </w:r>
      <w:r w:rsidR="002A2752">
        <w:rPr>
          <w:lang w:val="en-GB"/>
        </w:rPr>
        <w:t xml:space="preserve">artial migration based </w:t>
      </w:r>
      <w:r w:rsidR="008E4B7B">
        <w:rPr>
          <w:lang w:val="en-GB"/>
        </w:rPr>
        <w:t>f</w:t>
      </w:r>
      <w:r w:rsidR="002A2752">
        <w:rPr>
          <w:lang w:val="en-GB"/>
        </w:rPr>
        <w:t>ull migration allows the procedures listed above to be executed in the following sequence:</w:t>
      </w:r>
    </w:p>
    <w:p w14:paraId="0052474A" w14:textId="079437B6" w:rsidR="002A2752" w:rsidRDefault="002A2752" w:rsidP="002A2752">
      <w:pPr>
        <w:pStyle w:val="ListParagraph"/>
        <w:numPr>
          <w:ilvl w:val="0"/>
          <w:numId w:val="9"/>
        </w:numPr>
        <w:rPr>
          <w:rFonts w:ascii="Times New Roman" w:hAnsi="Times New Roman"/>
          <w:sz w:val="20"/>
          <w:szCs w:val="20"/>
          <w:lang w:val="en-GB" w:eastAsia="zh-CN"/>
        </w:rPr>
      </w:pPr>
      <w:r w:rsidRPr="00631D89">
        <w:rPr>
          <w:rFonts w:ascii="Times New Roman" w:hAnsi="Times New Roman"/>
          <w:sz w:val="20"/>
          <w:szCs w:val="20"/>
          <w:lang w:val="en-GB" w:eastAsia="zh-CN"/>
        </w:rPr>
        <w:t>HO preparation of the mIAB node</w:t>
      </w:r>
    </w:p>
    <w:p w14:paraId="1FD3C311" w14:textId="1E4D3B55" w:rsidR="00597D90" w:rsidRPr="008A30D2" w:rsidRDefault="002D03D8">
      <w:pPr>
        <w:pStyle w:val="ListParagraph"/>
        <w:numPr>
          <w:ilvl w:val="0"/>
          <w:numId w:val="9"/>
        </w:numPr>
        <w:rPr>
          <w:rFonts w:ascii="Times New Roman" w:hAnsi="Times New Roman"/>
          <w:sz w:val="20"/>
          <w:szCs w:val="20"/>
          <w:lang w:val="en-GB" w:eastAsia="zh-CN"/>
        </w:rPr>
      </w:pPr>
      <w:r w:rsidRPr="00631D89">
        <w:rPr>
          <w:rFonts w:ascii="Times New Roman" w:hAnsi="Times New Roman"/>
          <w:sz w:val="20"/>
          <w:szCs w:val="20"/>
          <w:lang w:val="en-GB" w:eastAsia="zh-CN"/>
        </w:rPr>
        <w:t>HO execution of the mIAB node</w:t>
      </w:r>
      <w:r w:rsidR="004D4666">
        <w:rPr>
          <w:rFonts w:ascii="Times New Roman" w:hAnsi="Times New Roman"/>
          <w:sz w:val="20"/>
          <w:szCs w:val="20"/>
          <w:lang w:val="en-GB" w:eastAsia="zh-CN"/>
        </w:rPr>
        <w:t xml:space="preserve"> and establishment of IP connectivity between the mIAB-DU and source IAB-donor-CU</w:t>
      </w:r>
    </w:p>
    <w:p w14:paraId="720204A1" w14:textId="59BCCD0F" w:rsidR="002A2752" w:rsidRPr="00631D89" w:rsidRDefault="002A2752" w:rsidP="002A2752">
      <w:pPr>
        <w:pStyle w:val="ListParagraph"/>
        <w:numPr>
          <w:ilvl w:val="0"/>
          <w:numId w:val="9"/>
        </w:numPr>
        <w:rPr>
          <w:rFonts w:ascii="Times New Roman" w:hAnsi="Times New Roman"/>
          <w:sz w:val="20"/>
          <w:szCs w:val="20"/>
          <w:lang w:val="en-GB" w:eastAsia="zh-CN"/>
        </w:rPr>
      </w:pPr>
      <w:r w:rsidRPr="00631D89">
        <w:rPr>
          <w:rFonts w:ascii="Times New Roman" w:hAnsi="Times New Roman"/>
          <w:sz w:val="20"/>
          <w:szCs w:val="20"/>
          <w:lang w:val="en-GB" w:eastAsia="zh-CN"/>
        </w:rPr>
        <w:t xml:space="preserve">F1 setup between the target IAB-donor-CU and </w:t>
      </w:r>
      <w:r w:rsidR="002D03D8">
        <w:rPr>
          <w:rFonts w:ascii="Times New Roman" w:hAnsi="Times New Roman"/>
          <w:sz w:val="20"/>
          <w:szCs w:val="20"/>
          <w:lang w:val="en-GB" w:eastAsia="zh-CN"/>
        </w:rPr>
        <w:t xml:space="preserve">the second logical </w:t>
      </w:r>
      <w:proofErr w:type="spellStart"/>
      <w:r w:rsidRPr="00631D89">
        <w:rPr>
          <w:rFonts w:ascii="Times New Roman" w:hAnsi="Times New Roman"/>
          <w:sz w:val="20"/>
          <w:szCs w:val="20"/>
          <w:lang w:val="en-GB" w:eastAsia="zh-CN"/>
        </w:rPr>
        <w:t>mIAB</w:t>
      </w:r>
      <w:proofErr w:type="spellEnd"/>
      <w:r w:rsidR="00C92297">
        <w:rPr>
          <w:rFonts w:ascii="Times New Roman" w:hAnsi="Times New Roman"/>
          <w:sz w:val="20"/>
          <w:szCs w:val="20"/>
          <w:lang w:val="en-GB" w:eastAsia="zh-CN"/>
        </w:rPr>
        <w:t>-</w:t>
      </w:r>
      <w:r w:rsidRPr="00631D89">
        <w:rPr>
          <w:rFonts w:ascii="Times New Roman" w:hAnsi="Times New Roman"/>
          <w:sz w:val="20"/>
          <w:szCs w:val="20"/>
          <w:lang w:val="en-GB" w:eastAsia="zh-CN"/>
        </w:rPr>
        <w:t>DU</w:t>
      </w:r>
    </w:p>
    <w:p w14:paraId="52787FB6" w14:textId="77777777" w:rsidR="002A2752" w:rsidRPr="00631D89" w:rsidRDefault="002A2752" w:rsidP="002A2752">
      <w:pPr>
        <w:pStyle w:val="ListParagraph"/>
        <w:numPr>
          <w:ilvl w:val="0"/>
          <w:numId w:val="9"/>
        </w:numPr>
        <w:rPr>
          <w:rFonts w:ascii="Times New Roman" w:hAnsi="Times New Roman"/>
          <w:sz w:val="20"/>
          <w:szCs w:val="20"/>
          <w:lang w:val="en-GB" w:eastAsia="zh-CN"/>
        </w:rPr>
      </w:pPr>
      <w:r w:rsidRPr="00631D89">
        <w:rPr>
          <w:rFonts w:ascii="Times New Roman" w:hAnsi="Times New Roman"/>
          <w:sz w:val="20"/>
          <w:szCs w:val="20"/>
          <w:lang w:val="en-GB" w:eastAsia="zh-CN"/>
        </w:rPr>
        <w:t>Any changes to the mIAB cell as a consequence of the new F1 setup to target IAB-donor-CU (e.g. PCI change)</w:t>
      </w:r>
    </w:p>
    <w:p w14:paraId="00C84F94" w14:textId="54A23613" w:rsidR="002D03D8" w:rsidRDefault="002A2752" w:rsidP="002A2752">
      <w:pPr>
        <w:pStyle w:val="ListParagraph"/>
        <w:numPr>
          <w:ilvl w:val="0"/>
          <w:numId w:val="9"/>
        </w:numPr>
        <w:rPr>
          <w:rFonts w:ascii="Times New Roman" w:hAnsi="Times New Roman"/>
          <w:sz w:val="20"/>
          <w:szCs w:val="20"/>
          <w:lang w:val="en-GB" w:eastAsia="zh-CN"/>
        </w:rPr>
      </w:pPr>
      <w:r w:rsidRPr="00631D89">
        <w:rPr>
          <w:rFonts w:ascii="Times New Roman" w:hAnsi="Times New Roman"/>
          <w:sz w:val="20"/>
          <w:szCs w:val="20"/>
          <w:lang w:val="en-GB" w:eastAsia="zh-CN"/>
        </w:rPr>
        <w:t xml:space="preserve">HO </w:t>
      </w:r>
      <w:r w:rsidR="002D03D8">
        <w:rPr>
          <w:rFonts w:ascii="Times New Roman" w:hAnsi="Times New Roman"/>
          <w:sz w:val="20"/>
          <w:szCs w:val="20"/>
          <w:lang w:val="en-GB" w:eastAsia="zh-CN"/>
        </w:rPr>
        <w:t xml:space="preserve">preparation of </w:t>
      </w:r>
      <w:r w:rsidR="002D03D8" w:rsidRPr="00631D89">
        <w:rPr>
          <w:rFonts w:ascii="Times New Roman" w:hAnsi="Times New Roman"/>
          <w:sz w:val="20"/>
          <w:szCs w:val="20"/>
          <w:lang w:val="en-GB" w:eastAsia="zh-CN"/>
        </w:rPr>
        <w:t>the served UEs</w:t>
      </w:r>
      <w:r w:rsidR="002D03D8">
        <w:rPr>
          <w:rFonts w:ascii="Times New Roman" w:hAnsi="Times New Roman"/>
          <w:sz w:val="20"/>
          <w:szCs w:val="20"/>
          <w:lang w:val="en-GB" w:eastAsia="zh-CN"/>
        </w:rPr>
        <w:t xml:space="preserve"> </w:t>
      </w:r>
      <w:r w:rsidR="005A19EF">
        <w:rPr>
          <w:rFonts w:ascii="Times New Roman" w:hAnsi="Times New Roman"/>
          <w:sz w:val="20"/>
          <w:szCs w:val="20"/>
          <w:lang w:val="en-GB" w:eastAsia="zh-CN"/>
        </w:rPr>
        <w:t xml:space="preserve">(possibly in groups) </w:t>
      </w:r>
      <w:r w:rsidR="002D03D8">
        <w:rPr>
          <w:rFonts w:ascii="Times New Roman" w:hAnsi="Times New Roman"/>
          <w:sz w:val="20"/>
          <w:szCs w:val="20"/>
          <w:lang w:val="en-GB" w:eastAsia="zh-CN"/>
        </w:rPr>
        <w:t xml:space="preserve">from the first logical mIAB-DU/cell to the second logical mIAB-DU/cell </w:t>
      </w:r>
    </w:p>
    <w:p w14:paraId="64560754" w14:textId="03D52234" w:rsidR="002A2752" w:rsidRDefault="005A19EF" w:rsidP="002A2752">
      <w:pPr>
        <w:pStyle w:val="ListParagraph"/>
        <w:numPr>
          <w:ilvl w:val="0"/>
          <w:numId w:val="9"/>
        </w:numPr>
        <w:rPr>
          <w:rFonts w:ascii="Times New Roman" w:hAnsi="Times New Roman"/>
          <w:sz w:val="20"/>
          <w:szCs w:val="20"/>
          <w:lang w:val="en-GB" w:eastAsia="zh-CN"/>
        </w:rPr>
      </w:pPr>
      <w:r w:rsidRPr="00631D89">
        <w:rPr>
          <w:rFonts w:ascii="Times New Roman" w:hAnsi="Times New Roman"/>
          <w:sz w:val="20"/>
          <w:szCs w:val="20"/>
          <w:lang w:val="en-GB" w:eastAsia="zh-CN"/>
        </w:rPr>
        <w:t xml:space="preserve">HO </w:t>
      </w:r>
      <w:r>
        <w:rPr>
          <w:rFonts w:ascii="Times New Roman" w:hAnsi="Times New Roman"/>
          <w:sz w:val="20"/>
          <w:szCs w:val="20"/>
          <w:lang w:val="en-GB" w:eastAsia="zh-CN"/>
        </w:rPr>
        <w:t xml:space="preserve">execution of </w:t>
      </w:r>
      <w:r w:rsidRPr="00631D89">
        <w:rPr>
          <w:rFonts w:ascii="Times New Roman" w:hAnsi="Times New Roman"/>
          <w:sz w:val="20"/>
          <w:szCs w:val="20"/>
          <w:lang w:val="en-GB" w:eastAsia="zh-CN"/>
        </w:rPr>
        <w:t>the served UEs</w:t>
      </w:r>
      <w:r>
        <w:rPr>
          <w:rFonts w:ascii="Times New Roman" w:hAnsi="Times New Roman"/>
          <w:sz w:val="20"/>
          <w:szCs w:val="20"/>
          <w:lang w:val="en-GB" w:eastAsia="zh-CN"/>
        </w:rPr>
        <w:t xml:space="preserve"> (possibly in groups) from the first logical mIAB-DU/cell to the second logical mIAB-DU/cell</w:t>
      </w:r>
    </w:p>
    <w:p w14:paraId="228DCABB" w14:textId="3B1391C4" w:rsidR="005A19EF" w:rsidRPr="00631D89" w:rsidRDefault="005A19EF" w:rsidP="002A2752">
      <w:pPr>
        <w:pStyle w:val="ListParagraph"/>
        <w:numPr>
          <w:ilvl w:val="0"/>
          <w:numId w:val="9"/>
        </w:numPr>
        <w:rPr>
          <w:rFonts w:ascii="Times New Roman" w:hAnsi="Times New Roman"/>
          <w:sz w:val="20"/>
          <w:szCs w:val="20"/>
          <w:lang w:val="en-GB" w:eastAsia="zh-CN"/>
        </w:rPr>
      </w:pPr>
      <w:r>
        <w:rPr>
          <w:rFonts w:ascii="Times New Roman" w:hAnsi="Times New Roman"/>
          <w:sz w:val="20"/>
          <w:szCs w:val="20"/>
          <w:lang w:val="en-GB" w:eastAsia="zh-CN"/>
        </w:rPr>
        <w:t xml:space="preserve">Release of the first logical </w:t>
      </w:r>
      <w:proofErr w:type="spellStart"/>
      <w:r w:rsidRPr="00631D89">
        <w:rPr>
          <w:rFonts w:ascii="Times New Roman" w:hAnsi="Times New Roman"/>
          <w:sz w:val="20"/>
          <w:szCs w:val="20"/>
          <w:lang w:val="en-GB" w:eastAsia="zh-CN"/>
        </w:rPr>
        <w:t>mIAB</w:t>
      </w:r>
      <w:proofErr w:type="spellEnd"/>
      <w:r w:rsidR="009A0710">
        <w:rPr>
          <w:rFonts w:ascii="Times New Roman" w:hAnsi="Times New Roman"/>
          <w:sz w:val="20"/>
          <w:szCs w:val="20"/>
          <w:lang w:val="en-GB" w:eastAsia="zh-CN"/>
        </w:rPr>
        <w:t>-</w:t>
      </w:r>
      <w:r w:rsidRPr="00631D89">
        <w:rPr>
          <w:rFonts w:ascii="Times New Roman" w:hAnsi="Times New Roman"/>
          <w:sz w:val="20"/>
          <w:szCs w:val="20"/>
          <w:lang w:val="en-GB" w:eastAsia="zh-CN"/>
        </w:rPr>
        <w:t>DU</w:t>
      </w:r>
      <w:r>
        <w:rPr>
          <w:rFonts w:ascii="Times New Roman" w:hAnsi="Times New Roman"/>
          <w:sz w:val="20"/>
          <w:szCs w:val="20"/>
          <w:lang w:val="en-GB" w:eastAsia="zh-CN"/>
        </w:rPr>
        <w:t xml:space="preserve"> and F1 connection to</w:t>
      </w:r>
      <w:r w:rsidRPr="00631D89">
        <w:rPr>
          <w:rFonts w:ascii="Times New Roman" w:hAnsi="Times New Roman"/>
          <w:sz w:val="20"/>
          <w:szCs w:val="20"/>
          <w:lang w:val="en-GB" w:eastAsia="zh-CN"/>
        </w:rPr>
        <w:t xml:space="preserve"> the </w:t>
      </w:r>
      <w:r>
        <w:rPr>
          <w:rFonts w:ascii="Times New Roman" w:hAnsi="Times New Roman"/>
          <w:sz w:val="20"/>
          <w:szCs w:val="20"/>
          <w:lang w:val="en-GB" w:eastAsia="zh-CN"/>
        </w:rPr>
        <w:t>source</w:t>
      </w:r>
      <w:r w:rsidRPr="00631D89">
        <w:rPr>
          <w:rFonts w:ascii="Times New Roman" w:hAnsi="Times New Roman"/>
          <w:sz w:val="20"/>
          <w:szCs w:val="20"/>
          <w:lang w:val="en-GB" w:eastAsia="zh-CN"/>
        </w:rPr>
        <w:t xml:space="preserve"> IAB-donor-CU</w:t>
      </w:r>
      <w:r>
        <w:rPr>
          <w:rFonts w:ascii="Times New Roman" w:hAnsi="Times New Roman"/>
          <w:sz w:val="20"/>
          <w:szCs w:val="20"/>
          <w:lang w:val="en-GB" w:eastAsia="zh-CN"/>
        </w:rPr>
        <w:t xml:space="preserve"> </w:t>
      </w:r>
    </w:p>
    <w:p w14:paraId="6D75775D" w14:textId="3A33AC88" w:rsidR="002A2752" w:rsidRDefault="00AA24FB" w:rsidP="00F07F77">
      <w:pPr>
        <w:rPr>
          <w:lang w:val="en-GB"/>
        </w:rPr>
      </w:pPr>
      <w:r>
        <w:rPr>
          <w:lang w:val="en-GB"/>
        </w:rPr>
        <w:t xml:space="preserve">Regarding step 6, </w:t>
      </w:r>
      <w:r w:rsidR="001B7B05">
        <w:rPr>
          <w:lang w:val="en-GB"/>
        </w:rPr>
        <w:t>legacy HO procedures can be used and congestion can be addressed by</w:t>
      </w:r>
      <w:r w:rsidR="00D06E4E">
        <w:rPr>
          <w:lang w:val="en-GB"/>
        </w:rPr>
        <w:t xml:space="preserve"> performing the procedure to smaller group of UEs at a time</w:t>
      </w:r>
      <w:r w:rsidR="003635D8">
        <w:rPr>
          <w:lang w:val="en-GB"/>
        </w:rPr>
        <w:t>:</w:t>
      </w:r>
    </w:p>
    <w:p w14:paraId="45C4A67A" w14:textId="6B0A5F45" w:rsidR="004D498D" w:rsidRPr="00390D8D" w:rsidRDefault="004D498D" w:rsidP="00C21771">
      <w:pPr>
        <w:pStyle w:val="Obs-prop"/>
      </w:pPr>
      <w:r w:rsidRPr="00F4789B">
        <w:t xml:space="preserve">Proposal </w:t>
      </w:r>
      <w:r w:rsidR="001A6617">
        <w:t>1</w:t>
      </w:r>
      <w:r w:rsidRPr="00F4789B">
        <w:t xml:space="preserve">: </w:t>
      </w:r>
      <w:r w:rsidR="00390D8D">
        <w:t xml:space="preserve">For </w:t>
      </w:r>
      <w:r w:rsidR="002E6251">
        <w:t>partial migration based full migration</w:t>
      </w:r>
      <w:r w:rsidR="00390D8D">
        <w:t xml:space="preserve">, </w:t>
      </w:r>
      <w:r>
        <w:t>legacy handover procedure</w:t>
      </w:r>
      <w:r w:rsidR="00390D8D">
        <w:t xml:space="preserve"> </w:t>
      </w:r>
      <w:r w:rsidR="00FB67E4">
        <w:t xml:space="preserve">can be used to </w:t>
      </w:r>
      <w:r w:rsidR="00390D8D">
        <w:t xml:space="preserve">switch </w:t>
      </w:r>
      <w:r w:rsidR="00FB67E4">
        <w:t xml:space="preserve">served UEs </w:t>
      </w:r>
      <w:r w:rsidR="00390D8D">
        <w:t xml:space="preserve">from one logical </w:t>
      </w:r>
      <w:r w:rsidR="00556060">
        <w:t>mobile IAB-</w:t>
      </w:r>
      <w:r w:rsidR="00390D8D">
        <w:t>DU</w:t>
      </w:r>
      <w:r w:rsidR="00FB1652">
        <w:t>/cell</w:t>
      </w:r>
      <w:r w:rsidR="00390D8D">
        <w:t xml:space="preserve"> </w:t>
      </w:r>
      <w:r w:rsidR="00E71053">
        <w:t xml:space="preserve">(the source IAB-donor-CU) </w:t>
      </w:r>
      <w:r w:rsidR="00390D8D">
        <w:t xml:space="preserve">to another logical </w:t>
      </w:r>
      <w:r w:rsidR="00556060">
        <w:t>mobile IAB-</w:t>
      </w:r>
      <w:r w:rsidR="00390D8D">
        <w:t>DU</w:t>
      </w:r>
      <w:r w:rsidR="00FB1652">
        <w:t>/cell</w:t>
      </w:r>
      <w:r w:rsidR="00FA4133">
        <w:t xml:space="preserve"> </w:t>
      </w:r>
      <w:r w:rsidR="00F71129">
        <w:t xml:space="preserve">(the target IAB-donor-CU) </w:t>
      </w:r>
      <w:r w:rsidR="00FA4133">
        <w:t xml:space="preserve">in the same </w:t>
      </w:r>
      <w:proofErr w:type="spellStart"/>
      <w:r w:rsidR="00FA4133">
        <w:t>mIAB</w:t>
      </w:r>
      <w:proofErr w:type="spellEnd"/>
      <w:r w:rsidR="00FA4133">
        <w:t xml:space="preserve"> node</w:t>
      </w:r>
      <w:r w:rsidRPr="00F4789B">
        <w:rPr>
          <w:b w:val="0"/>
        </w:rPr>
        <w:t>.</w:t>
      </w:r>
      <w:r w:rsidR="00C33AB4">
        <w:rPr>
          <w:b w:val="0"/>
        </w:rPr>
        <w:t xml:space="preserve">  </w:t>
      </w:r>
      <w:r w:rsidR="00DB77B7">
        <w:t>T</w:t>
      </w:r>
      <w:r w:rsidR="00C33AB4">
        <w:t xml:space="preserve">he source IAB-donor CU can gradually trigger served UEs’ handover to avoid congestion.  </w:t>
      </w:r>
    </w:p>
    <w:p w14:paraId="7FE8F40B" w14:textId="2F47B02F" w:rsidR="00E445B6" w:rsidRDefault="001B39BE" w:rsidP="00E445B6">
      <w:pPr>
        <w:pStyle w:val="Heading4"/>
      </w:pPr>
      <w:r>
        <w:t xml:space="preserve">Option 2 – Standalone </w:t>
      </w:r>
      <w:r w:rsidR="00240625">
        <w:t xml:space="preserve">Full Migration </w:t>
      </w:r>
    </w:p>
    <w:p w14:paraId="761699B6" w14:textId="3B86D7A0" w:rsidR="00EE0282" w:rsidRDefault="00B044A7" w:rsidP="00354ED3">
      <w:pPr>
        <w:rPr>
          <w:lang w:val="en-GB" w:eastAsia="zh-CN"/>
        </w:rPr>
      </w:pPr>
      <w:r>
        <w:rPr>
          <w:lang w:val="en-GB" w:eastAsia="zh-CN"/>
        </w:rPr>
        <w:t xml:space="preserve">As discussed earlier, </w:t>
      </w:r>
      <w:r w:rsidR="00070265">
        <w:rPr>
          <w:lang w:val="en-GB" w:eastAsia="zh-CN"/>
        </w:rPr>
        <w:t xml:space="preserve">standalone </w:t>
      </w:r>
      <w:r w:rsidR="007B5EDD">
        <w:rPr>
          <w:lang w:val="en-GB" w:eastAsia="zh-CN"/>
        </w:rPr>
        <w:t>f</w:t>
      </w:r>
      <w:r w:rsidR="00070265">
        <w:rPr>
          <w:lang w:val="en-GB" w:eastAsia="zh-CN"/>
        </w:rPr>
        <w:t xml:space="preserve">ull </w:t>
      </w:r>
      <w:r w:rsidR="007B5EDD">
        <w:rPr>
          <w:lang w:val="en-GB" w:eastAsia="zh-CN"/>
        </w:rPr>
        <w:t>m</w:t>
      </w:r>
      <w:r w:rsidR="00070265">
        <w:rPr>
          <w:lang w:val="en-GB" w:eastAsia="zh-CN"/>
        </w:rPr>
        <w:t xml:space="preserve">igration does not </w:t>
      </w:r>
      <w:r>
        <w:rPr>
          <w:lang w:val="en-GB" w:eastAsia="zh-CN"/>
        </w:rPr>
        <w:t>go through the intermediate step of partial migration</w:t>
      </w:r>
      <w:r w:rsidR="00705D68">
        <w:rPr>
          <w:lang w:val="en-GB" w:eastAsia="zh-CN"/>
        </w:rPr>
        <w:t xml:space="preserve"> if there no IP connectivity between the target IAB-donor DU and source IAB donor-CU</w:t>
      </w:r>
      <w:r>
        <w:rPr>
          <w:lang w:val="en-GB" w:eastAsia="zh-CN"/>
        </w:rPr>
        <w:t>.</w:t>
      </w:r>
      <w:r w:rsidR="00EE0282">
        <w:rPr>
          <w:lang w:val="en-GB" w:eastAsia="zh-CN"/>
        </w:rPr>
        <w:t xml:space="preserve"> An example message flow is given in the figure below.</w:t>
      </w:r>
    </w:p>
    <w:p w14:paraId="5991F6EE" w14:textId="0CAB87CA" w:rsidR="00AE414A" w:rsidRDefault="00B044A7" w:rsidP="00083DC4">
      <w:pPr>
        <w:rPr>
          <w:lang w:val="en-GB" w:eastAsia="zh-CN"/>
        </w:rPr>
      </w:pPr>
      <w:r>
        <w:rPr>
          <w:lang w:val="en-GB" w:eastAsia="zh-CN"/>
        </w:rPr>
        <w:t xml:space="preserve">There is only one logical DU </w:t>
      </w:r>
      <w:r w:rsidR="00705D68">
        <w:rPr>
          <w:lang w:val="en-GB" w:eastAsia="zh-CN"/>
        </w:rPr>
        <w:t xml:space="preserve">in the mIAB node </w:t>
      </w:r>
      <w:r>
        <w:rPr>
          <w:lang w:val="en-GB" w:eastAsia="zh-CN"/>
        </w:rPr>
        <w:t>and one cell</w:t>
      </w:r>
      <w:r w:rsidR="00AF17AE">
        <w:rPr>
          <w:lang w:val="en-GB" w:eastAsia="zh-CN"/>
        </w:rPr>
        <w:t xml:space="preserve"> which switches from the source donor </w:t>
      </w:r>
      <w:r w:rsidR="001B6E09">
        <w:rPr>
          <w:lang w:val="en-GB" w:eastAsia="zh-CN"/>
        </w:rPr>
        <w:t xml:space="preserve">CU </w:t>
      </w:r>
      <w:r w:rsidR="00AF17AE">
        <w:rPr>
          <w:lang w:val="en-GB" w:eastAsia="zh-CN"/>
        </w:rPr>
        <w:t>to the target donor</w:t>
      </w:r>
      <w:r w:rsidR="001B6E09">
        <w:rPr>
          <w:lang w:val="en-GB" w:eastAsia="zh-CN"/>
        </w:rPr>
        <w:t xml:space="preserve"> CU</w:t>
      </w:r>
      <w:r w:rsidR="00705D68">
        <w:rPr>
          <w:lang w:val="en-GB" w:eastAsia="zh-CN"/>
        </w:rPr>
        <w:t xml:space="preserve">.  </w:t>
      </w:r>
      <w:r w:rsidR="00AE414A">
        <w:rPr>
          <w:lang w:val="en-GB" w:eastAsia="zh-CN"/>
        </w:rPr>
        <w:t>This makes it a big challenging a</w:t>
      </w:r>
      <w:r w:rsidR="001B6E09">
        <w:rPr>
          <w:lang w:val="en-GB" w:eastAsia="zh-CN"/>
        </w:rPr>
        <w:t xml:space="preserve">s the HO preparation requires communication with </w:t>
      </w:r>
      <w:r w:rsidR="00AE414A">
        <w:rPr>
          <w:lang w:val="en-GB" w:eastAsia="zh-CN"/>
        </w:rPr>
        <w:t xml:space="preserve">both </w:t>
      </w:r>
      <w:r w:rsidR="001B6E09">
        <w:rPr>
          <w:lang w:val="en-GB" w:eastAsia="zh-CN"/>
        </w:rPr>
        <w:t xml:space="preserve">the source DU/CU and target DU/CU </w:t>
      </w:r>
      <w:r w:rsidR="00AE414A">
        <w:rPr>
          <w:lang w:val="en-GB" w:eastAsia="zh-CN"/>
        </w:rPr>
        <w:t xml:space="preserve">but only one of them exist any time.  </w:t>
      </w:r>
      <w:r w:rsidR="00367905">
        <w:rPr>
          <w:lang w:val="en-GB" w:eastAsia="zh-CN"/>
        </w:rPr>
        <w:t>As with the previous option, the network steps h</w:t>
      </w:r>
      <w:r w:rsidR="000743FB">
        <w:rPr>
          <w:lang w:val="en-GB" w:eastAsia="zh-CN"/>
        </w:rPr>
        <w:t>av</w:t>
      </w:r>
      <w:r w:rsidR="00816F54">
        <w:rPr>
          <w:lang w:val="en-GB" w:eastAsia="zh-CN"/>
        </w:rPr>
        <w:t>e</w:t>
      </w:r>
      <w:r w:rsidR="00367905">
        <w:rPr>
          <w:lang w:val="en-GB" w:eastAsia="zh-CN"/>
        </w:rPr>
        <w:t xml:space="preserve"> to be discussed in RAN3.</w:t>
      </w:r>
    </w:p>
    <w:p w14:paraId="2FA0FCF4" w14:textId="0FB04365" w:rsidR="00083DC4" w:rsidRDefault="00AE414A" w:rsidP="00083DC4">
      <w:pPr>
        <w:rPr>
          <w:lang w:val="en-GB" w:eastAsia="zh-CN"/>
        </w:rPr>
      </w:pPr>
      <w:r>
        <w:rPr>
          <w:lang w:val="en-GB" w:eastAsia="zh-CN"/>
        </w:rPr>
        <w:t xml:space="preserve">An example message flow for standalone full migration is shown in figure 5 and </w:t>
      </w:r>
      <w:r w:rsidR="00B65362">
        <w:rPr>
          <w:lang w:val="en-GB" w:eastAsia="zh-CN"/>
        </w:rPr>
        <w:t xml:space="preserve">RAN2 aspects </w:t>
      </w:r>
      <w:r>
        <w:rPr>
          <w:lang w:val="en-GB" w:eastAsia="zh-CN"/>
        </w:rPr>
        <w:t xml:space="preserve">discussed in more detail below. </w:t>
      </w:r>
    </w:p>
    <w:p w14:paraId="74CA60D6" w14:textId="726795F5" w:rsidR="00B83A76" w:rsidRDefault="00C863B3" w:rsidP="00083DC4">
      <w:pPr>
        <w:rPr>
          <w:lang w:val="en-GB" w:eastAsia="zh-CN"/>
        </w:rPr>
      </w:pPr>
      <w:r>
        <w:object w:dxaOrig="11616" w:dyaOrig="8819" w14:anchorId="12F1F34C">
          <v:shape id="_x0000_i1029" type="#_x0000_t75" style="width:498.8pt;height:379pt" o:ole="">
            <v:imagedata r:id="rId19" o:title=""/>
          </v:shape>
          <o:OLEObject Type="Embed" ProgID="Visio.Drawing.15" ShapeID="_x0000_i1029" DrawAspect="Content" ObjectID="_1721508010" r:id="rId20"/>
        </w:object>
      </w:r>
    </w:p>
    <w:p w14:paraId="1C8B1D5A" w14:textId="781633AF" w:rsidR="001F4821" w:rsidRPr="008A30D2" w:rsidRDefault="001F4821" w:rsidP="001F4821">
      <w:pPr>
        <w:pStyle w:val="Caption"/>
        <w:jc w:val="center"/>
      </w:pPr>
      <w:r w:rsidRPr="005A1872">
        <w:rPr>
          <w:bCs/>
        </w:rPr>
        <w:t xml:space="preserve">Figure </w:t>
      </w:r>
      <w:r w:rsidR="00B1325B">
        <w:rPr>
          <w:bCs/>
        </w:rPr>
        <w:t>5</w:t>
      </w:r>
      <w:r w:rsidRPr="005A1872">
        <w:rPr>
          <w:bCs/>
        </w:rPr>
        <w:t xml:space="preserve">. </w:t>
      </w:r>
      <w:r>
        <w:rPr>
          <w:bCs/>
        </w:rPr>
        <w:t xml:space="preserve">Example high level </w:t>
      </w:r>
      <w:r w:rsidR="00724240">
        <w:rPr>
          <w:bCs/>
        </w:rPr>
        <w:t xml:space="preserve">example </w:t>
      </w:r>
      <w:r>
        <w:rPr>
          <w:bCs/>
        </w:rPr>
        <w:t>message flow for standalone full migration</w:t>
      </w:r>
    </w:p>
    <w:p w14:paraId="55363B3B" w14:textId="77777777" w:rsidR="001F4821" w:rsidRDefault="001F4821" w:rsidP="00083DC4">
      <w:pPr>
        <w:rPr>
          <w:lang w:val="en-GB" w:eastAsia="zh-CN"/>
        </w:rPr>
      </w:pPr>
    </w:p>
    <w:p w14:paraId="1AC02F93" w14:textId="66DBF1B7" w:rsidR="00AC2240" w:rsidRPr="005B711C" w:rsidRDefault="00AC2240" w:rsidP="00354ED3">
      <w:pPr>
        <w:rPr>
          <w:i/>
          <w:iCs/>
          <w:u w:val="single"/>
          <w:lang w:val="en-GB" w:eastAsia="zh-CN"/>
        </w:rPr>
      </w:pPr>
      <w:proofErr w:type="spellStart"/>
      <w:r w:rsidRPr="005B711C">
        <w:rPr>
          <w:i/>
          <w:iCs/>
          <w:u w:val="single"/>
          <w:lang w:val="en-GB" w:eastAsia="zh-CN"/>
        </w:rPr>
        <w:t>RRCReconfiguration</w:t>
      </w:r>
      <w:proofErr w:type="spellEnd"/>
      <w:r w:rsidRPr="005B711C">
        <w:rPr>
          <w:i/>
          <w:iCs/>
          <w:u w:val="single"/>
          <w:lang w:val="en-GB" w:eastAsia="zh-CN"/>
        </w:rPr>
        <w:t xml:space="preserve"> </w:t>
      </w:r>
      <w:r w:rsidR="00C53B54">
        <w:rPr>
          <w:i/>
          <w:iCs/>
          <w:u w:val="single"/>
          <w:lang w:val="en-GB" w:eastAsia="zh-CN"/>
        </w:rPr>
        <w:t xml:space="preserve">(HO command) </w:t>
      </w:r>
      <w:r w:rsidR="006D5BAE">
        <w:rPr>
          <w:i/>
          <w:iCs/>
          <w:u w:val="single"/>
          <w:lang w:val="en-GB" w:eastAsia="zh-CN"/>
        </w:rPr>
        <w:t xml:space="preserve">and HO execution </w:t>
      </w:r>
      <w:r w:rsidRPr="005B711C">
        <w:rPr>
          <w:i/>
          <w:iCs/>
          <w:u w:val="single"/>
          <w:lang w:val="en-GB" w:eastAsia="zh-CN"/>
        </w:rPr>
        <w:t>of served UEs</w:t>
      </w:r>
    </w:p>
    <w:p w14:paraId="0B751B2D" w14:textId="10F7D185" w:rsidR="00526756" w:rsidRDefault="005B11D9" w:rsidP="00354ED3">
      <w:pPr>
        <w:rPr>
          <w:lang w:val="en-GB" w:eastAsia="zh-CN"/>
        </w:rPr>
      </w:pPr>
      <w:r>
        <w:rPr>
          <w:lang w:val="en-GB" w:eastAsia="zh-CN"/>
        </w:rPr>
        <w:lastRenderedPageBreak/>
        <w:t>From RAN2 point of view, for the served UEs and mIAB node, after the HO preparation procedures on the network side, the HO commands ha</w:t>
      </w:r>
      <w:r w:rsidR="00816F54">
        <w:rPr>
          <w:lang w:val="en-GB" w:eastAsia="zh-CN"/>
        </w:rPr>
        <w:t>ve</w:t>
      </w:r>
      <w:r>
        <w:rPr>
          <w:lang w:val="en-GB" w:eastAsia="zh-CN"/>
        </w:rPr>
        <w:t xml:space="preserve"> to be provided </w:t>
      </w:r>
      <w:r w:rsidR="00B65362">
        <w:rPr>
          <w:lang w:val="en-GB" w:eastAsia="zh-CN"/>
        </w:rPr>
        <w:t xml:space="preserve">to the UEs </w:t>
      </w:r>
      <w:r>
        <w:rPr>
          <w:lang w:val="en-GB" w:eastAsia="zh-CN"/>
        </w:rPr>
        <w:t xml:space="preserve">before </w:t>
      </w:r>
      <w:r w:rsidR="00A42DEB">
        <w:rPr>
          <w:lang w:val="en-GB" w:eastAsia="zh-CN"/>
        </w:rPr>
        <w:t xml:space="preserve">any </w:t>
      </w:r>
      <w:proofErr w:type="spellStart"/>
      <w:r w:rsidR="00B65362">
        <w:rPr>
          <w:lang w:val="en-GB" w:eastAsia="zh-CN"/>
        </w:rPr>
        <w:t>mIAB</w:t>
      </w:r>
      <w:proofErr w:type="spellEnd"/>
      <w:r w:rsidR="00B65362">
        <w:rPr>
          <w:lang w:val="en-GB" w:eastAsia="zh-CN"/>
        </w:rPr>
        <w:t xml:space="preserve"> </w:t>
      </w:r>
      <w:r>
        <w:rPr>
          <w:lang w:val="en-GB" w:eastAsia="zh-CN"/>
        </w:rPr>
        <w:t xml:space="preserve">cell changes </w:t>
      </w:r>
      <w:r w:rsidR="00B65362">
        <w:rPr>
          <w:lang w:val="en-GB" w:eastAsia="zh-CN"/>
        </w:rPr>
        <w:t xml:space="preserve">related </w:t>
      </w:r>
      <w:r>
        <w:rPr>
          <w:lang w:val="en-GB" w:eastAsia="zh-CN"/>
        </w:rPr>
        <w:t xml:space="preserve">to the target side.  </w:t>
      </w:r>
      <w:r w:rsidR="000433AF">
        <w:rPr>
          <w:lang w:val="en-GB" w:eastAsia="zh-CN"/>
        </w:rPr>
        <w:t xml:space="preserve">However, </w:t>
      </w:r>
      <w:r w:rsidR="00F2486F">
        <w:rPr>
          <w:lang w:val="en-GB" w:eastAsia="zh-CN"/>
        </w:rPr>
        <w:t>the served UEs can only start handover after the mobile IAB-DU’s successful F1 setup</w:t>
      </w:r>
      <w:r w:rsidR="00E937AE">
        <w:rPr>
          <w:lang w:val="en-GB" w:eastAsia="zh-CN"/>
        </w:rPr>
        <w:t xml:space="preserve"> and mIAB changes to the target IAB-donor-CU configuration</w:t>
      </w:r>
      <w:r w:rsidR="00F2486F">
        <w:rPr>
          <w:lang w:val="en-GB" w:eastAsia="zh-CN"/>
        </w:rPr>
        <w:t xml:space="preserve">. </w:t>
      </w:r>
      <w:r w:rsidR="00526756">
        <w:rPr>
          <w:lang w:val="en-GB" w:eastAsia="zh-CN"/>
        </w:rPr>
        <w:t xml:space="preserve">Therefore, how to send </w:t>
      </w:r>
      <w:r w:rsidR="00526756" w:rsidRPr="004A44C7">
        <w:rPr>
          <w:i/>
          <w:iCs/>
          <w:lang w:val="en-GB" w:eastAsia="zh-CN"/>
        </w:rPr>
        <w:t>RRCReconfiguration</w:t>
      </w:r>
      <w:r w:rsidR="00526756">
        <w:rPr>
          <w:lang w:val="en-GB" w:eastAsia="zh-CN"/>
        </w:rPr>
        <w:t xml:space="preserve"> </w:t>
      </w:r>
      <w:r w:rsidR="006D5BAE">
        <w:rPr>
          <w:lang w:val="en-GB" w:eastAsia="zh-CN"/>
        </w:rPr>
        <w:t xml:space="preserve">with sync </w:t>
      </w:r>
      <w:r w:rsidR="00526756">
        <w:rPr>
          <w:lang w:val="en-GB" w:eastAsia="zh-CN"/>
        </w:rPr>
        <w:t xml:space="preserve">messages </w:t>
      </w:r>
      <w:r w:rsidR="006D5BAE">
        <w:rPr>
          <w:lang w:val="en-GB" w:eastAsia="zh-CN"/>
        </w:rPr>
        <w:t xml:space="preserve">and how </w:t>
      </w:r>
      <w:r w:rsidR="00B65362">
        <w:rPr>
          <w:lang w:val="en-GB" w:eastAsia="zh-CN"/>
        </w:rPr>
        <w:t xml:space="preserve">served legacy </w:t>
      </w:r>
      <w:r w:rsidR="006D5BAE">
        <w:rPr>
          <w:lang w:val="en-GB" w:eastAsia="zh-CN"/>
        </w:rPr>
        <w:t xml:space="preserve">UE executes HO </w:t>
      </w:r>
      <w:r w:rsidR="00D8481A">
        <w:rPr>
          <w:lang w:val="en-GB" w:eastAsia="zh-CN"/>
        </w:rPr>
        <w:t xml:space="preserve">successfully </w:t>
      </w:r>
      <w:r w:rsidR="00526756">
        <w:rPr>
          <w:lang w:val="en-GB" w:eastAsia="zh-CN"/>
        </w:rPr>
        <w:t xml:space="preserve">during mobile IAB-node’s full migration </w:t>
      </w:r>
      <w:r w:rsidR="00E937AE">
        <w:rPr>
          <w:lang w:val="en-GB" w:eastAsia="zh-CN"/>
        </w:rPr>
        <w:t>requires discussion</w:t>
      </w:r>
      <w:r w:rsidR="00526756">
        <w:rPr>
          <w:lang w:val="en-GB" w:eastAsia="zh-CN"/>
        </w:rPr>
        <w:t>.</w:t>
      </w:r>
    </w:p>
    <w:p w14:paraId="26A0555B" w14:textId="56E58486" w:rsidR="00526756" w:rsidRDefault="00526756" w:rsidP="00526756">
      <w:pPr>
        <w:rPr>
          <w:lang w:val="en-GB" w:eastAsia="zh-CN"/>
        </w:rPr>
      </w:pPr>
      <w:r>
        <w:rPr>
          <w:lang w:val="en-GB" w:eastAsia="zh-CN"/>
        </w:rPr>
        <w:t xml:space="preserve">There are </w:t>
      </w:r>
      <w:r w:rsidR="001A49F8">
        <w:rPr>
          <w:lang w:val="en-GB" w:eastAsia="zh-CN"/>
        </w:rPr>
        <w:t xml:space="preserve">different </w:t>
      </w:r>
      <w:r>
        <w:rPr>
          <w:lang w:val="en-GB" w:eastAsia="zh-CN"/>
        </w:rPr>
        <w:t xml:space="preserve">options </w:t>
      </w:r>
      <w:r w:rsidR="001A49F8">
        <w:rPr>
          <w:lang w:val="en-GB" w:eastAsia="zh-CN"/>
        </w:rPr>
        <w:t xml:space="preserve">possible for </w:t>
      </w:r>
      <w:r>
        <w:rPr>
          <w:lang w:val="en-GB" w:eastAsia="zh-CN"/>
        </w:rPr>
        <w:t xml:space="preserve">handling served UEs’ </w:t>
      </w:r>
      <w:r w:rsidRPr="00D46538">
        <w:rPr>
          <w:i/>
          <w:iCs/>
          <w:lang w:val="en-GB" w:eastAsia="zh-CN"/>
        </w:rPr>
        <w:t>RRCReconfiguration</w:t>
      </w:r>
      <w:r>
        <w:rPr>
          <w:lang w:val="en-GB" w:eastAsia="zh-CN"/>
        </w:rPr>
        <w:t xml:space="preserve"> messages at mobile IAB-node</w:t>
      </w:r>
      <w:r w:rsidR="001A49F8">
        <w:rPr>
          <w:lang w:val="en-GB" w:eastAsia="zh-CN"/>
        </w:rPr>
        <w:t xml:space="preserve"> depending on whether there is a change in the mIAB cell configuration (resources/PCI/etc.) during the migration.  </w:t>
      </w:r>
    </w:p>
    <w:p w14:paraId="403CEE24" w14:textId="3697A1A2" w:rsidR="00107221" w:rsidRPr="0001190B" w:rsidRDefault="001A49F8" w:rsidP="00B3201F">
      <w:pPr>
        <w:rPr>
          <w:lang w:eastAsia="zh-CN"/>
        </w:rPr>
      </w:pPr>
      <w:r>
        <w:rPr>
          <w:lang w:val="en-GB" w:eastAsia="zh-CN"/>
        </w:rPr>
        <w:t xml:space="preserve">If there is no change in cell configuration, it is possible </w:t>
      </w:r>
      <w:r w:rsidR="0001190B">
        <w:rPr>
          <w:lang w:val="en-GB" w:eastAsia="zh-CN"/>
        </w:rPr>
        <w:t xml:space="preserve">to </w:t>
      </w:r>
      <w:r w:rsidR="0001190B">
        <w:rPr>
          <w:lang w:eastAsia="zh-CN"/>
        </w:rPr>
        <w:t>s</w:t>
      </w:r>
      <w:r w:rsidR="00526756">
        <w:rPr>
          <w:lang w:eastAsia="zh-CN"/>
        </w:rPr>
        <w:t xml:space="preserve">end the </w:t>
      </w:r>
      <w:proofErr w:type="spellStart"/>
      <w:r w:rsidR="00526756" w:rsidRPr="00AB6D0C">
        <w:rPr>
          <w:i/>
          <w:iCs/>
          <w:lang w:eastAsia="zh-CN"/>
        </w:rPr>
        <w:t>RRCReconfiguration</w:t>
      </w:r>
      <w:proofErr w:type="spellEnd"/>
      <w:r w:rsidR="00526756">
        <w:rPr>
          <w:lang w:eastAsia="zh-CN"/>
        </w:rPr>
        <w:t xml:space="preserve"> message to the served UE after successful full migration of mobile IAB-node</w:t>
      </w:r>
      <w:r w:rsidR="0001190B">
        <w:rPr>
          <w:lang w:eastAsia="zh-CN"/>
        </w:rPr>
        <w:t xml:space="preserve">.  </w:t>
      </w:r>
      <w:r w:rsidR="00B3201F">
        <w:rPr>
          <w:lang w:val="en-GB" w:eastAsia="zh-CN"/>
        </w:rPr>
        <w:t xml:space="preserve">The RRC containers of each served UE can be temporarily stored at the mobile IAB-DU when the collocated mobile IAB-MT receives handover command of itself. </w:t>
      </w:r>
      <w:r w:rsidR="008C7E23">
        <w:rPr>
          <w:lang w:val="en-GB" w:eastAsia="zh-CN"/>
        </w:rPr>
        <w:t>T</w:t>
      </w:r>
      <w:r w:rsidR="00B3201F">
        <w:rPr>
          <w:lang w:val="en-GB" w:eastAsia="zh-CN"/>
        </w:rPr>
        <w:t xml:space="preserve">he </w:t>
      </w:r>
      <w:r w:rsidR="00B3201F" w:rsidRPr="00A0281B">
        <w:rPr>
          <w:i/>
          <w:iCs/>
          <w:lang w:val="en-GB" w:eastAsia="zh-CN"/>
        </w:rPr>
        <w:t>RRCReconfiguration</w:t>
      </w:r>
      <w:r w:rsidR="00B3201F">
        <w:rPr>
          <w:lang w:val="en-GB" w:eastAsia="zh-CN"/>
        </w:rPr>
        <w:t xml:space="preserve"> messages can then be successfully transmitted to the served UEs </w:t>
      </w:r>
      <w:r w:rsidR="00653BF3">
        <w:rPr>
          <w:lang w:val="en-GB" w:eastAsia="zh-CN"/>
        </w:rPr>
        <w:t>only</w:t>
      </w:r>
      <w:r w:rsidR="00B3201F">
        <w:rPr>
          <w:lang w:val="en-GB" w:eastAsia="zh-CN"/>
        </w:rPr>
        <w:t xml:space="preserve"> after mobile IAB-node changes its F1 termination. </w:t>
      </w:r>
    </w:p>
    <w:p w14:paraId="42B2FD10" w14:textId="77ACA636" w:rsidR="001E3D76" w:rsidRDefault="000F0285" w:rsidP="00FA7528">
      <w:pPr>
        <w:rPr>
          <w:lang w:eastAsia="zh-CN"/>
        </w:rPr>
      </w:pPr>
      <w:r>
        <w:t xml:space="preserve">If there is a change in mIAB cell </w:t>
      </w:r>
      <w:r w:rsidR="008C7E23">
        <w:t xml:space="preserve">resource </w:t>
      </w:r>
      <w:r>
        <w:t xml:space="preserve">configuration (PCI etc.), </w:t>
      </w:r>
      <w:r w:rsidR="008E48E6">
        <w:t xml:space="preserve">one possibility could be to </w:t>
      </w:r>
      <w:r w:rsidR="008C7E23">
        <w:rPr>
          <w:lang w:eastAsia="zh-CN"/>
        </w:rPr>
        <w:t>sen</w:t>
      </w:r>
      <w:r w:rsidR="008E48E6">
        <w:rPr>
          <w:lang w:eastAsia="zh-CN"/>
        </w:rPr>
        <w:t>d</w:t>
      </w:r>
      <w:r w:rsidR="008D74E7">
        <w:rPr>
          <w:lang w:eastAsia="zh-CN"/>
        </w:rPr>
        <w:t xml:space="preserve"> the </w:t>
      </w:r>
      <w:r w:rsidR="008E48E6" w:rsidRPr="00AB6D0C">
        <w:rPr>
          <w:i/>
          <w:iCs/>
          <w:lang w:eastAsia="zh-CN"/>
        </w:rPr>
        <w:t>RRCReconfiguration</w:t>
      </w:r>
      <w:r w:rsidR="008E48E6">
        <w:rPr>
          <w:lang w:eastAsia="zh-CN"/>
        </w:rPr>
        <w:t xml:space="preserve"> message to the </w:t>
      </w:r>
      <w:r w:rsidR="008D74E7">
        <w:rPr>
          <w:lang w:eastAsia="zh-CN"/>
        </w:rPr>
        <w:t>served UE</w:t>
      </w:r>
      <w:r w:rsidR="008C7E23">
        <w:rPr>
          <w:lang w:eastAsia="zh-CN"/>
        </w:rPr>
        <w:t>s</w:t>
      </w:r>
      <w:r w:rsidR="008D74E7">
        <w:rPr>
          <w:lang w:eastAsia="zh-CN"/>
        </w:rPr>
        <w:t xml:space="preserve"> after mobile IAB-MT’s handover, but before </w:t>
      </w:r>
      <w:r w:rsidR="00E13506">
        <w:rPr>
          <w:lang w:eastAsia="zh-CN"/>
        </w:rPr>
        <w:t xml:space="preserve">change in cell configuration </w:t>
      </w:r>
      <w:r w:rsidR="00653BF3">
        <w:rPr>
          <w:lang w:eastAsia="zh-CN"/>
        </w:rPr>
        <w:t xml:space="preserve">(e.g. PCI) </w:t>
      </w:r>
      <w:r w:rsidR="00E13506">
        <w:rPr>
          <w:lang w:eastAsia="zh-CN"/>
        </w:rPr>
        <w:t xml:space="preserve">to the target IAB-donor-CU.  </w:t>
      </w:r>
      <w:r w:rsidR="00856377">
        <w:rPr>
          <w:lang w:eastAsia="zh-CN"/>
        </w:rPr>
        <w:t xml:space="preserve">To cater for the </w:t>
      </w:r>
      <w:r w:rsidR="00780C4A">
        <w:rPr>
          <w:lang w:eastAsia="zh-CN"/>
        </w:rPr>
        <w:t xml:space="preserve">time taken for the cell configuration change, a </w:t>
      </w:r>
      <w:r w:rsidR="005202B5">
        <w:rPr>
          <w:lang w:eastAsia="zh-CN"/>
        </w:rPr>
        <w:t>longer HO failure timer can be configured to the served UEs</w:t>
      </w:r>
      <w:r w:rsidR="00780C4A">
        <w:rPr>
          <w:lang w:eastAsia="zh-CN"/>
        </w:rPr>
        <w:t>.</w:t>
      </w:r>
      <w:r w:rsidR="00760968">
        <w:rPr>
          <w:lang w:eastAsia="zh-CN"/>
        </w:rPr>
        <w:t xml:space="preserve">  Whether this option will </w:t>
      </w:r>
      <w:r w:rsidR="001231C6">
        <w:rPr>
          <w:lang w:eastAsia="zh-CN"/>
        </w:rPr>
        <w:t>be successful</w:t>
      </w:r>
      <w:r w:rsidR="00760968">
        <w:rPr>
          <w:lang w:eastAsia="zh-CN"/>
        </w:rPr>
        <w:t xml:space="preserve"> </w:t>
      </w:r>
      <w:r w:rsidR="001231C6">
        <w:rPr>
          <w:lang w:eastAsia="zh-CN"/>
        </w:rPr>
        <w:t xml:space="preserve">in all cases </w:t>
      </w:r>
      <w:r w:rsidR="00760968">
        <w:rPr>
          <w:lang w:eastAsia="zh-CN"/>
        </w:rPr>
        <w:t xml:space="preserve">with legacy UEs </w:t>
      </w:r>
      <w:r w:rsidR="00653BF3">
        <w:rPr>
          <w:lang w:eastAsia="zh-CN"/>
        </w:rPr>
        <w:t xml:space="preserve">depend on how quickly the mIAB cell configuration change can be done and for UE to access the </w:t>
      </w:r>
      <w:r w:rsidR="004B0B6F">
        <w:rPr>
          <w:lang w:eastAsia="zh-CN"/>
        </w:rPr>
        <w:t>“</w:t>
      </w:r>
      <w:r w:rsidR="00653BF3">
        <w:rPr>
          <w:lang w:eastAsia="zh-CN"/>
        </w:rPr>
        <w:t>new</w:t>
      </w:r>
      <w:r w:rsidR="004B0B6F">
        <w:rPr>
          <w:lang w:eastAsia="zh-CN"/>
        </w:rPr>
        <w:t>”</w:t>
      </w:r>
      <w:r w:rsidR="00653BF3">
        <w:rPr>
          <w:lang w:eastAsia="zh-CN"/>
        </w:rPr>
        <w:t xml:space="preserve"> cell.  This </w:t>
      </w:r>
      <w:r w:rsidR="00760968">
        <w:rPr>
          <w:lang w:eastAsia="zh-CN"/>
        </w:rPr>
        <w:t xml:space="preserve">require further </w:t>
      </w:r>
      <w:r w:rsidR="001231C6">
        <w:rPr>
          <w:lang w:eastAsia="zh-CN"/>
        </w:rPr>
        <w:t xml:space="preserve">study.  </w:t>
      </w:r>
    </w:p>
    <w:p w14:paraId="738C6170" w14:textId="7DFCC3BD" w:rsidR="00AB34B5" w:rsidRDefault="00741B14" w:rsidP="0001190B">
      <w:r>
        <w:rPr>
          <w:lang w:eastAsia="zh-CN"/>
        </w:rPr>
        <w:t xml:space="preserve">New </w:t>
      </w:r>
      <w:r w:rsidR="001231C6">
        <w:rPr>
          <w:lang w:eastAsia="zh-CN"/>
        </w:rPr>
        <w:t>enhancements can be considered</w:t>
      </w:r>
      <w:r>
        <w:rPr>
          <w:lang w:eastAsia="zh-CN"/>
        </w:rPr>
        <w:t xml:space="preserve"> for Rel-18 UEs, for example</w:t>
      </w:r>
      <w:r w:rsidR="001231C6">
        <w:rPr>
          <w:lang w:eastAsia="zh-CN"/>
        </w:rPr>
        <w:t xml:space="preserve">, </w:t>
      </w:r>
      <w:r>
        <w:rPr>
          <w:lang w:eastAsia="zh-CN"/>
        </w:rPr>
        <w:t>to s</w:t>
      </w:r>
      <w:r w:rsidR="0001190B">
        <w:rPr>
          <w:lang w:val="en-GB" w:eastAsia="zh-CN"/>
        </w:rPr>
        <w:t xml:space="preserve">end the </w:t>
      </w:r>
      <w:r w:rsidR="0001190B" w:rsidRPr="00385936">
        <w:rPr>
          <w:i/>
          <w:iCs/>
          <w:lang w:val="en-GB" w:eastAsia="zh-CN"/>
        </w:rPr>
        <w:t>RRCReconfiguration</w:t>
      </w:r>
      <w:r w:rsidR="0001190B">
        <w:rPr>
          <w:lang w:val="en-GB" w:eastAsia="zh-CN"/>
        </w:rPr>
        <w:t xml:space="preserve"> message to the served UE right after receiving the corresponding RRC container from source IAB-donor CU</w:t>
      </w:r>
      <w:r w:rsidR="0001190B">
        <w:rPr>
          <w:lang w:eastAsia="zh-CN"/>
        </w:rPr>
        <w:t>, i.e. before mobile IAB-node’s full migration execution.</w:t>
      </w:r>
      <w:r>
        <w:rPr>
          <w:lang w:eastAsia="zh-CN"/>
        </w:rPr>
        <w:t xml:space="preserve"> </w:t>
      </w:r>
      <w:r w:rsidR="00D62D15">
        <w:rPr>
          <w:lang w:eastAsia="zh-CN"/>
        </w:rPr>
        <w:t>T</w:t>
      </w:r>
      <w:r w:rsidR="0001190B">
        <w:rPr>
          <w:lang w:eastAsia="zh-CN"/>
        </w:rPr>
        <w:t xml:space="preserve">he served UEs can temporarily store the </w:t>
      </w:r>
      <w:r w:rsidR="0001190B" w:rsidRPr="00727874">
        <w:rPr>
          <w:i/>
          <w:iCs/>
          <w:lang w:eastAsia="zh-CN"/>
        </w:rPr>
        <w:t>RRCReconfiguration</w:t>
      </w:r>
      <w:r w:rsidR="0001190B">
        <w:rPr>
          <w:lang w:eastAsia="zh-CN"/>
        </w:rPr>
        <w:t xml:space="preserve"> message and execute </w:t>
      </w:r>
      <w:r w:rsidR="008E48E6">
        <w:rPr>
          <w:lang w:eastAsia="zh-CN"/>
        </w:rPr>
        <w:t xml:space="preserve">HO </w:t>
      </w:r>
      <w:r w:rsidR="0001190B">
        <w:rPr>
          <w:lang w:eastAsia="zh-CN"/>
        </w:rPr>
        <w:t xml:space="preserve">after mobile IAB-node’s successful full migration. </w:t>
      </w:r>
      <w:r w:rsidR="00B13EA0">
        <w:rPr>
          <w:lang w:eastAsia="zh-CN"/>
        </w:rPr>
        <w:t xml:space="preserve"> This is shown in the figure </w:t>
      </w:r>
      <w:r w:rsidR="004B0B6F">
        <w:rPr>
          <w:lang w:eastAsia="zh-CN"/>
        </w:rPr>
        <w:t xml:space="preserve">6 </w:t>
      </w:r>
      <w:r w:rsidR="00B13EA0">
        <w:rPr>
          <w:lang w:eastAsia="zh-CN"/>
        </w:rPr>
        <w:t>below.</w:t>
      </w:r>
    </w:p>
    <w:p w14:paraId="6AC8598F" w14:textId="58354C16" w:rsidR="00B83A76" w:rsidRDefault="00BF352E" w:rsidP="0001190B">
      <w:r>
        <w:object w:dxaOrig="11892" w:dyaOrig="6851" w14:anchorId="2320BFB5">
          <v:shape id="_x0000_i1030" type="#_x0000_t75" style="width:510.9pt;height:293.75pt" o:ole="">
            <v:imagedata r:id="rId21" o:title=""/>
          </v:shape>
          <o:OLEObject Type="Embed" ProgID="Visio.Drawing.15" ShapeID="_x0000_i1030" DrawAspect="Content" ObjectID="_1721508011" r:id="rId22"/>
        </w:object>
      </w:r>
    </w:p>
    <w:p w14:paraId="630EB519" w14:textId="64EE3626" w:rsidR="00B13EA0" w:rsidRPr="00C21771" w:rsidRDefault="00B13EA0" w:rsidP="00B13EA0">
      <w:pPr>
        <w:pStyle w:val="Caption"/>
        <w:jc w:val="center"/>
        <w:rPr>
          <w:b/>
          <w:bCs/>
          <w:lang w:eastAsia="zh-CN"/>
        </w:rPr>
      </w:pPr>
      <w:r w:rsidRPr="005A1872">
        <w:rPr>
          <w:bCs/>
        </w:rPr>
        <w:t xml:space="preserve">Figure </w:t>
      </w:r>
      <w:r w:rsidR="00B1325B">
        <w:rPr>
          <w:b/>
          <w:bCs/>
        </w:rPr>
        <w:t>6</w:t>
      </w:r>
      <w:r w:rsidRPr="005A1872">
        <w:rPr>
          <w:bCs/>
        </w:rPr>
        <w:t xml:space="preserve">. </w:t>
      </w:r>
      <w:r>
        <w:rPr>
          <w:bCs/>
        </w:rPr>
        <w:t>Example high level message flow for standalone full migration towards enhanced Rel-18 UE</w:t>
      </w:r>
    </w:p>
    <w:p w14:paraId="22F318E4" w14:textId="77777777" w:rsidR="00B13EA0" w:rsidRDefault="00B13EA0" w:rsidP="0001190B">
      <w:pPr>
        <w:rPr>
          <w:lang w:val="en-GB" w:eastAsia="zh-CN"/>
        </w:rPr>
      </w:pPr>
    </w:p>
    <w:p w14:paraId="60D7CD92" w14:textId="2482958F" w:rsidR="002B1FC8" w:rsidRPr="00234A5D" w:rsidRDefault="002B1FC8" w:rsidP="002B1FC8">
      <w:pPr>
        <w:rPr>
          <w:i/>
          <w:iCs/>
          <w:u w:val="single"/>
          <w:lang w:val="en-GB"/>
        </w:rPr>
      </w:pPr>
      <w:r w:rsidRPr="00AC2240">
        <w:rPr>
          <w:i/>
          <w:iCs/>
          <w:u w:val="single"/>
          <w:lang w:val="en-GB"/>
        </w:rPr>
        <w:t>Data resumption for the served UEs after mobile IAB-node’s full migration</w:t>
      </w:r>
    </w:p>
    <w:p w14:paraId="6EC09E6E" w14:textId="21A03FD3" w:rsidR="002B1FC8" w:rsidRDefault="00FA41F0" w:rsidP="002B1FC8">
      <w:pPr>
        <w:rPr>
          <w:lang w:val="en-GB"/>
        </w:rPr>
      </w:pPr>
      <w:r>
        <w:rPr>
          <w:lang w:val="en-GB"/>
        </w:rPr>
        <w:t xml:space="preserve">Another topic to consider the transfer of data to the </w:t>
      </w:r>
      <w:r w:rsidR="00321D8E">
        <w:rPr>
          <w:lang w:val="en-GB"/>
        </w:rPr>
        <w:t xml:space="preserve">served UEs and interruption during the mIAB full migration.  </w:t>
      </w:r>
      <w:r w:rsidR="002B1FC8">
        <w:rPr>
          <w:lang w:val="en-GB"/>
        </w:rPr>
        <w:t xml:space="preserve">Normally, the target cell starts to provide downlink data towards the handed-over UE after path switch in UPF. However, for group mobility of served UEs, downlink data forwarding to the served UEs may be delayed </w:t>
      </w:r>
      <w:r w:rsidR="00321D8E">
        <w:rPr>
          <w:lang w:val="en-GB"/>
        </w:rPr>
        <w:t xml:space="preserve">or interrupted </w:t>
      </w:r>
      <w:r w:rsidR="002B1FC8">
        <w:rPr>
          <w:lang w:val="en-GB"/>
        </w:rPr>
        <w:t xml:space="preserve">due to mobile IAB’s full migration. </w:t>
      </w:r>
      <w:r w:rsidR="00FF7641">
        <w:rPr>
          <w:lang w:val="en-GB"/>
        </w:rPr>
        <w:t xml:space="preserve">Some enhancements can be considered to minimise data interruption such as </w:t>
      </w:r>
      <w:r w:rsidR="002B1FC8">
        <w:rPr>
          <w:lang w:val="en-GB"/>
        </w:rPr>
        <w:t xml:space="preserve">the target IAB-donor CU pre-send DL data </w:t>
      </w:r>
      <w:r w:rsidR="00AD2769">
        <w:rPr>
          <w:lang w:val="en-GB"/>
        </w:rPr>
        <w:t xml:space="preserve">for </w:t>
      </w:r>
      <w:r w:rsidR="002B1FC8">
        <w:rPr>
          <w:lang w:val="en-GB"/>
        </w:rPr>
        <w:t xml:space="preserve">served UEs </w:t>
      </w:r>
      <w:r w:rsidR="00AD2769">
        <w:rPr>
          <w:lang w:val="en-GB"/>
        </w:rPr>
        <w:t xml:space="preserve">to the mIAB </w:t>
      </w:r>
      <w:r w:rsidR="002B1FC8">
        <w:rPr>
          <w:lang w:val="en-GB"/>
        </w:rPr>
        <w:t xml:space="preserve">before the </w:t>
      </w:r>
      <w:r w:rsidR="002B1FC8" w:rsidRPr="00CE1944">
        <w:rPr>
          <w:i/>
          <w:iCs/>
          <w:lang w:val="en-GB"/>
        </w:rPr>
        <w:t>RRCReconfigurationComplete</w:t>
      </w:r>
      <w:r w:rsidR="002B1FC8">
        <w:rPr>
          <w:lang w:val="en-GB"/>
        </w:rPr>
        <w:t xml:space="preserve"> messages </w:t>
      </w:r>
      <w:r w:rsidR="00AD2769">
        <w:rPr>
          <w:lang w:val="en-GB"/>
        </w:rPr>
        <w:t xml:space="preserve">from the </w:t>
      </w:r>
      <w:r w:rsidR="0006619D">
        <w:rPr>
          <w:lang w:val="en-GB"/>
        </w:rPr>
        <w:t xml:space="preserve">served </w:t>
      </w:r>
      <w:r w:rsidR="00AD2769">
        <w:rPr>
          <w:lang w:val="en-GB"/>
        </w:rPr>
        <w:t xml:space="preserve">UEs </w:t>
      </w:r>
      <w:r w:rsidR="002B1FC8">
        <w:rPr>
          <w:lang w:val="en-GB"/>
        </w:rPr>
        <w:t>are received by the target IAB-donor CU.</w:t>
      </w:r>
      <w:r w:rsidR="0006619D">
        <w:rPr>
          <w:lang w:val="en-GB"/>
        </w:rPr>
        <w:t xml:space="preserve"> I</w:t>
      </w:r>
      <w:r w:rsidR="002B1FC8">
        <w:rPr>
          <w:lang w:val="en-GB"/>
        </w:rPr>
        <w:t>t can be temporarily stored at the mobile IAB-node, and forward</w:t>
      </w:r>
      <w:r w:rsidR="00AD2769">
        <w:rPr>
          <w:lang w:val="en-GB"/>
        </w:rPr>
        <w:t>ed</w:t>
      </w:r>
      <w:r w:rsidR="002B1FC8">
        <w:rPr>
          <w:lang w:val="en-GB"/>
        </w:rPr>
        <w:t xml:space="preserve"> to the served UEs after their successful RACH when the new security keys are applied. </w:t>
      </w:r>
    </w:p>
    <w:p w14:paraId="6166932D" w14:textId="1D2A9CB9" w:rsidR="002B1FC8" w:rsidRPr="0006619D" w:rsidRDefault="002B1FC8" w:rsidP="00E27E24">
      <w:pPr>
        <w:pStyle w:val="Obs-prop"/>
      </w:pPr>
      <w:r w:rsidRPr="0006619D">
        <w:t xml:space="preserve">Proposal </w:t>
      </w:r>
      <w:r w:rsidR="007F7FD3">
        <w:t>2</w:t>
      </w:r>
      <w:r w:rsidRPr="0006619D">
        <w:t xml:space="preserve">: </w:t>
      </w:r>
      <w:r w:rsidR="00E27E24">
        <w:t xml:space="preserve">For standalone full migration (if supported), </w:t>
      </w:r>
      <w:r w:rsidR="001A6617">
        <w:t>transfer of HO command and data resumption to served UE should be studied.</w:t>
      </w:r>
    </w:p>
    <w:p w14:paraId="6B246A44" w14:textId="15638F8E" w:rsidR="00E16250" w:rsidRDefault="00AD2430" w:rsidP="008A30D2">
      <w:pPr>
        <w:pStyle w:val="Heading3"/>
      </w:pPr>
      <w:r>
        <w:t>Other considerations</w:t>
      </w:r>
      <w:r w:rsidR="00E16250">
        <w:t xml:space="preserve"> for Full Migration</w:t>
      </w:r>
    </w:p>
    <w:p w14:paraId="2510DB6D" w14:textId="77777777" w:rsidR="00E16250" w:rsidRPr="00CF1BDF" w:rsidRDefault="00E16250" w:rsidP="00E16250">
      <w:pPr>
        <w:rPr>
          <w:i/>
          <w:iCs/>
          <w:u w:val="single"/>
          <w:lang w:val="en-GB" w:eastAsia="zh-CN"/>
        </w:rPr>
      </w:pPr>
      <w:r w:rsidRPr="00CF1BDF">
        <w:rPr>
          <w:i/>
          <w:iCs/>
          <w:u w:val="single"/>
          <w:lang w:val="en-GB" w:eastAsia="zh-CN"/>
        </w:rPr>
        <w:t xml:space="preserve">CHO of </w:t>
      </w:r>
      <w:proofErr w:type="spellStart"/>
      <w:r w:rsidRPr="00CF1BDF">
        <w:rPr>
          <w:i/>
          <w:iCs/>
          <w:u w:val="single"/>
          <w:lang w:val="en-GB" w:eastAsia="zh-CN"/>
        </w:rPr>
        <w:t>mIAB</w:t>
      </w:r>
      <w:proofErr w:type="spellEnd"/>
      <w:r w:rsidRPr="00CF1BDF">
        <w:rPr>
          <w:i/>
          <w:iCs/>
          <w:u w:val="single"/>
          <w:lang w:val="en-GB" w:eastAsia="zh-CN"/>
        </w:rPr>
        <w:t>-node</w:t>
      </w:r>
    </w:p>
    <w:p w14:paraId="12BEAEC8" w14:textId="77777777" w:rsidR="00E16250" w:rsidRDefault="00E16250" w:rsidP="00E16250">
      <w:pPr>
        <w:rPr>
          <w:lang w:val="en-GB" w:eastAsia="zh-CN"/>
        </w:rPr>
      </w:pPr>
      <w:r>
        <w:rPr>
          <w:lang w:val="en-GB" w:eastAsia="zh-CN"/>
        </w:rPr>
        <w:t xml:space="preserve">As agreed in Rel-17, CHO is also supported for the IAB-MT in context of intra- and inter-donor IAB-node migration and BH RLF recovery, where CHO for IAB-MT is the same as CHO for normal UE. To reduce service interruption during mobile IAB-node’s migration, CHO can also be supported for mobile IAB-MT. </w:t>
      </w:r>
    </w:p>
    <w:p w14:paraId="1E444FAA" w14:textId="77777777" w:rsidR="00E16250" w:rsidRDefault="00E16250" w:rsidP="00E16250">
      <w:pPr>
        <w:rPr>
          <w:lang w:val="en-GB" w:eastAsia="zh-CN"/>
        </w:rPr>
      </w:pPr>
      <w:r>
        <w:rPr>
          <w:lang w:val="en-GB" w:eastAsia="zh-CN"/>
        </w:rPr>
        <w:t xml:space="preserve">During full migration, the F1 termination of mobile IAB-DU changes from source IAB-donor CU1 (figure 3 above)  to target IAB-donor CU2. The mobile IAB-DU needs to establish a new F1 tunnel towards target IAB-donor CU2, where a new DU resource configuration can be provided by the target IAB-donor CU2. When CHO is configured for mobile IAB-MT, the IAB-donor CU(s) of mobile IAB-MT’s CHO candidate cell(s) also becomes the candidate IAB-donor CU(s) for the collocated mobile IAB-DU. </w:t>
      </w:r>
    </w:p>
    <w:p w14:paraId="3DB0F969" w14:textId="12C9D140" w:rsidR="00E16250" w:rsidRDefault="00E16250" w:rsidP="00E16250">
      <w:pPr>
        <w:rPr>
          <w:lang w:val="en-GB" w:eastAsia="zh-CN"/>
        </w:rPr>
      </w:pPr>
      <w:r>
        <w:rPr>
          <w:lang w:val="en-GB" w:eastAsia="zh-CN"/>
        </w:rPr>
        <w:lastRenderedPageBreak/>
        <w:t xml:space="preserve">To allow faster switch between source and target path, the IAB-donor CU of the mobile IAB-MT’s candidate CHO cell (i.e. candidate IAB-donor CU) can also provide conditional DU resource configuration to the mobile IAB-DU. When CHO is triggered at mobile IAB-MT and a candidate CHO cell is selected, the collocated mobile IAB-DU can apply the corresponding conditional DU resource configuration directly. </w:t>
      </w:r>
      <w:r w:rsidR="00E66757">
        <w:rPr>
          <w:lang w:val="en-GB" w:eastAsia="zh-CN"/>
        </w:rPr>
        <w:t xml:space="preserve"> </w:t>
      </w:r>
      <w:r w:rsidR="002747D8">
        <w:rPr>
          <w:lang w:val="en-GB" w:eastAsia="zh-CN"/>
        </w:rPr>
        <w:t>An example</w:t>
      </w:r>
      <w:r w:rsidR="00E66757">
        <w:rPr>
          <w:lang w:val="en-GB" w:eastAsia="zh-CN"/>
        </w:rPr>
        <w:t xml:space="preserve"> sequence is shown in figure 7 below.</w:t>
      </w:r>
    </w:p>
    <w:p w14:paraId="24FEA8B4" w14:textId="2A3E7F44" w:rsidR="00C43411" w:rsidRDefault="000E64BC" w:rsidP="00C21771">
      <w:pPr>
        <w:keepNext/>
      </w:pPr>
      <w:r>
        <w:object w:dxaOrig="12900" w:dyaOrig="11251" w14:anchorId="1B82BBA8">
          <v:shape id="_x0000_i1031" type="#_x0000_t75" style="width:429.7pt;height:375pt" o:ole="">
            <v:imagedata r:id="rId23" o:title=""/>
          </v:shape>
          <o:OLEObject Type="Embed" ProgID="Visio.Drawing.15" ShapeID="_x0000_i1031" DrawAspect="Content" ObjectID="_1721508012" r:id="rId24"/>
        </w:object>
      </w:r>
    </w:p>
    <w:p w14:paraId="3847E7C0" w14:textId="1BBD4A56" w:rsidR="00002D70" w:rsidRDefault="00C43411" w:rsidP="00C21771">
      <w:pPr>
        <w:pStyle w:val="Caption"/>
        <w:jc w:val="center"/>
        <w:rPr>
          <w:lang w:val="en-GB" w:eastAsia="zh-CN"/>
        </w:rPr>
      </w:pPr>
      <w:r>
        <w:t xml:space="preserve">Figure </w:t>
      </w:r>
      <w:r w:rsidR="00AD18FC">
        <w:t>7</w:t>
      </w:r>
      <w:r>
        <w:t>. Example of CHO for mobile IAB-node</w:t>
      </w:r>
    </w:p>
    <w:p w14:paraId="2F6DC0E7" w14:textId="6FF80732" w:rsidR="00E16250" w:rsidRDefault="00DC1554" w:rsidP="002910E5">
      <w:pPr>
        <w:rPr>
          <w:lang w:val="en-GB" w:eastAsia="zh-CN"/>
        </w:rPr>
      </w:pPr>
      <w:r>
        <w:rPr>
          <w:lang w:val="en-GB" w:eastAsia="zh-CN"/>
        </w:rPr>
        <w:t xml:space="preserve">CHO for </w:t>
      </w:r>
      <w:r w:rsidR="00E16250">
        <w:rPr>
          <w:lang w:val="en-GB" w:eastAsia="zh-CN"/>
        </w:rPr>
        <w:t xml:space="preserve">the served UEs </w:t>
      </w:r>
      <w:r>
        <w:rPr>
          <w:lang w:val="en-GB" w:eastAsia="zh-CN"/>
        </w:rPr>
        <w:t>can also be considered but</w:t>
      </w:r>
      <w:r w:rsidR="002B026E">
        <w:rPr>
          <w:lang w:val="en-GB" w:eastAsia="zh-CN"/>
        </w:rPr>
        <w:t xml:space="preserve"> </w:t>
      </w:r>
      <w:r w:rsidR="007577AE">
        <w:rPr>
          <w:lang w:val="en-GB" w:eastAsia="zh-CN"/>
        </w:rPr>
        <w:t xml:space="preserve">the normal CHO triggers are unlikely to be applicable </w:t>
      </w:r>
      <w:r w:rsidR="00FB508B">
        <w:rPr>
          <w:lang w:val="en-GB" w:eastAsia="zh-CN"/>
        </w:rPr>
        <w:t xml:space="preserve">as served </w:t>
      </w:r>
      <w:r w:rsidR="007577AE">
        <w:rPr>
          <w:lang w:val="en-GB" w:eastAsia="zh-CN"/>
        </w:rPr>
        <w:t xml:space="preserve">UEs </w:t>
      </w:r>
      <w:r w:rsidR="00E16250">
        <w:rPr>
          <w:lang w:val="en-GB" w:eastAsia="zh-CN"/>
        </w:rPr>
        <w:t xml:space="preserve">are still connecting to the </w:t>
      </w:r>
      <w:r w:rsidR="007577AE">
        <w:rPr>
          <w:lang w:val="en-GB" w:eastAsia="zh-CN"/>
        </w:rPr>
        <w:t xml:space="preserve">same </w:t>
      </w:r>
      <w:r w:rsidR="00E16250">
        <w:rPr>
          <w:lang w:val="en-GB" w:eastAsia="zh-CN"/>
        </w:rPr>
        <w:t>mobile IAB-node after its full migration</w:t>
      </w:r>
      <w:r w:rsidR="007577AE">
        <w:rPr>
          <w:lang w:val="en-GB" w:eastAsia="zh-CN"/>
        </w:rPr>
        <w:t xml:space="preserve"> (apart from </w:t>
      </w:r>
      <w:r w:rsidR="00FB508B">
        <w:rPr>
          <w:lang w:val="en-GB" w:eastAsia="zh-CN"/>
        </w:rPr>
        <w:t xml:space="preserve">using </w:t>
      </w:r>
      <w:r w:rsidR="007577AE">
        <w:rPr>
          <w:lang w:val="en-GB" w:eastAsia="zh-CN"/>
        </w:rPr>
        <w:t>a different key).</w:t>
      </w:r>
      <w:r w:rsidR="00FB508B">
        <w:rPr>
          <w:lang w:val="en-GB" w:eastAsia="zh-CN"/>
        </w:rPr>
        <w:t xml:space="preserve"> </w:t>
      </w:r>
    </w:p>
    <w:p w14:paraId="3AADBDF8" w14:textId="47D98010" w:rsidR="003B2BD1" w:rsidRPr="00885EEE" w:rsidRDefault="003B2BD1" w:rsidP="003B2BD1">
      <w:pPr>
        <w:pStyle w:val="Obs-prop"/>
        <w:rPr>
          <w:lang w:eastAsia="zh-CN"/>
        </w:rPr>
      </w:pPr>
      <w:r w:rsidRPr="00885EEE">
        <w:rPr>
          <w:lang w:eastAsia="zh-CN"/>
        </w:rPr>
        <w:t xml:space="preserve">Proposal </w:t>
      </w:r>
      <w:r w:rsidR="007F7FD3">
        <w:rPr>
          <w:lang w:eastAsia="zh-CN"/>
        </w:rPr>
        <w:t>3</w:t>
      </w:r>
      <w:r w:rsidRPr="00885EEE">
        <w:rPr>
          <w:lang w:eastAsia="zh-CN"/>
        </w:rPr>
        <w:t xml:space="preserve">: </w:t>
      </w:r>
      <w:r>
        <w:rPr>
          <w:lang w:eastAsia="zh-CN"/>
        </w:rPr>
        <w:t>CHO is supported for the mobile IAB-MT during inter-donor CU full migration</w:t>
      </w:r>
      <w:r w:rsidRPr="00885EEE">
        <w:rPr>
          <w:lang w:eastAsia="zh-CN"/>
        </w:rPr>
        <w:t>.</w:t>
      </w:r>
    </w:p>
    <w:p w14:paraId="4262737D" w14:textId="034782A3" w:rsidR="001F4821" w:rsidRPr="001F4821" w:rsidRDefault="002910E5" w:rsidP="001F4821">
      <w:pPr>
        <w:rPr>
          <w:i/>
          <w:iCs/>
          <w:u w:val="single"/>
          <w:lang w:val="en-GB" w:eastAsia="zh-CN"/>
        </w:rPr>
      </w:pPr>
      <w:r>
        <w:rPr>
          <w:i/>
          <w:iCs/>
          <w:u w:val="single"/>
          <w:lang w:val="en-GB" w:eastAsia="zh-CN"/>
        </w:rPr>
        <w:t>Enhancement for HO</w:t>
      </w:r>
      <w:r w:rsidR="001F4821" w:rsidRPr="001F4821">
        <w:rPr>
          <w:i/>
          <w:iCs/>
          <w:u w:val="single"/>
          <w:lang w:val="en-GB" w:eastAsia="zh-CN"/>
        </w:rPr>
        <w:t xml:space="preserve"> operation</w:t>
      </w:r>
      <w:r w:rsidR="000E6774">
        <w:rPr>
          <w:i/>
          <w:iCs/>
          <w:u w:val="single"/>
          <w:lang w:val="en-GB" w:eastAsia="zh-CN"/>
        </w:rPr>
        <w:t xml:space="preserve"> for Rel-18 </w:t>
      </w:r>
      <w:r w:rsidR="00FB508B">
        <w:rPr>
          <w:i/>
          <w:iCs/>
          <w:u w:val="single"/>
          <w:lang w:val="en-GB" w:eastAsia="zh-CN"/>
        </w:rPr>
        <w:t xml:space="preserve">served </w:t>
      </w:r>
      <w:r w:rsidR="000E6774">
        <w:rPr>
          <w:i/>
          <w:iCs/>
          <w:u w:val="single"/>
          <w:lang w:val="en-GB" w:eastAsia="zh-CN"/>
        </w:rPr>
        <w:t>UEs</w:t>
      </w:r>
    </w:p>
    <w:p w14:paraId="3F2628D7" w14:textId="7E12AFD7" w:rsidR="001F4821" w:rsidRDefault="002910E5" w:rsidP="00FB508B">
      <w:pPr>
        <w:rPr>
          <w:lang w:val="en-GB" w:eastAsia="zh-CN"/>
        </w:rPr>
      </w:pPr>
      <w:r>
        <w:rPr>
          <w:lang w:val="en-GB" w:eastAsia="zh-CN"/>
        </w:rPr>
        <w:t xml:space="preserve">Since </w:t>
      </w:r>
      <w:r w:rsidR="001F4821">
        <w:rPr>
          <w:lang w:val="en-GB" w:eastAsia="zh-CN"/>
        </w:rPr>
        <w:t xml:space="preserve">the served UEs </w:t>
      </w:r>
      <w:r>
        <w:rPr>
          <w:lang w:val="en-GB" w:eastAsia="zh-CN"/>
        </w:rPr>
        <w:t xml:space="preserve">are performing a HO only for purpose of key change and there is no </w:t>
      </w:r>
      <w:r w:rsidR="002747D8">
        <w:rPr>
          <w:lang w:val="en-GB" w:eastAsia="zh-CN"/>
        </w:rPr>
        <w:t xml:space="preserve">actual </w:t>
      </w:r>
      <w:r>
        <w:rPr>
          <w:lang w:val="en-GB" w:eastAsia="zh-CN"/>
        </w:rPr>
        <w:t xml:space="preserve">cell change, there is scope for further optimisations towards Rel-18 UEs.  An optimised procedure bypassing </w:t>
      </w:r>
      <w:r w:rsidR="009077AF">
        <w:rPr>
          <w:lang w:val="en-GB" w:eastAsia="zh-CN"/>
        </w:rPr>
        <w:t>some</w:t>
      </w:r>
      <w:r>
        <w:rPr>
          <w:lang w:val="en-GB" w:eastAsia="zh-CN"/>
        </w:rPr>
        <w:t xml:space="preserve"> of the procedures </w:t>
      </w:r>
      <w:r w:rsidR="000F025C">
        <w:rPr>
          <w:lang w:val="en-GB" w:eastAsia="zh-CN"/>
        </w:rPr>
        <w:t xml:space="preserve">during HO </w:t>
      </w:r>
      <w:r>
        <w:rPr>
          <w:lang w:val="en-GB" w:eastAsia="zh-CN"/>
        </w:rPr>
        <w:t xml:space="preserve">such as RACH, </w:t>
      </w:r>
      <w:r w:rsidR="009077AF">
        <w:rPr>
          <w:lang w:val="en-GB" w:eastAsia="zh-CN"/>
        </w:rPr>
        <w:t>change of physical channel configuration or even resetting some of the L2 layers</w:t>
      </w:r>
      <w:r w:rsidR="000F025C">
        <w:rPr>
          <w:lang w:val="en-GB" w:eastAsia="zh-CN"/>
        </w:rPr>
        <w:t xml:space="preserve"> can be considered to improve end user performance</w:t>
      </w:r>
      <w:r w:rsidR="001F4821">
        <w:rPr>
          <w:lang w:val="en-GB" w:eastAsia="zh-CN"/>
        </w:rPr>
        <w:t xml:space="preserve">. </w:t>
      </w:r>
      <w:r w:rsidR="00FB508B">
        <w:rPr>
          <w:lang w:val="en-GB" w:eastAsia="zh-CN"/>
        </w:rPr>
        <w:t xml:space="preserve"> This is also discussed in [1].</w:t>
      </w:r>
    </w:p>
    <w:p w14:paraId="34D11DD7" w14:textId="3EADC15E" w:rsidR="00B7150B" w:rsidRPr="00B8492D" w:rsidRDefault="00B7150B" w:rsidP="00B7150B">
      <w:pPr>
        <w:pStyle w:val="Obs-prop"/>
        <w:rPr>
          <w:lang w:eastAsia="zh-CN"/>
        </w:rPr>
      </w:pPr>
      <w:r>
        <w:rPr>
          <w:lang w:eastAsia="zh-CN"/>
        </w:rPr>
        <w:t xml:space="preserve">Proposal </w:t>
      </w:r>
      <w:r w:rsidR="007F7FD3">
        <w:rPr>
          <w:lang w:eastAsia="zh-CN"/>
        </w:rPr>
        <w:t>4</w:t>
      </w:r>
      <w:r>
        <w:rPr>
          <w:lang w:eastAsia="zh-CN"/>
        </w:rPr>
        <w:t xml:space="preserve">: Enhancements to support simpler </w:t>
      </w:r>
      <w:r w:rsidR="000454F8">
        <w:rPr>
          <w:lang w:eastAsia="zh-CN"/>
        </w:rPr>
        <w:t>“</w:t>
      </w:r>
      <w:r>
        <w:rPr>
          <w:lang w:eastAsia="zh-CN"/>
        </w:rPr>
        <w:t>Handover</w:t>
      </w:r>
      <w:r w:rsidR="000454F8">
        <w:rPr>
          <w:lang w:eastAsia="zh-CN"/>
        </w:rPr>
        <w:t>”</w:t>
      </w:r>
      <w:r>
        <w:rPr>
          <w:lang w:eastAsia="zh-CN"/>
        </w:rPr>
        <w:t xml:space="preserve"> procedure for security change during mIAB inter-donor-CU full migration should be studied.</w:t>
      </w:r>
    </w:p>
    <w:p w14:paraId="394569F2" w14:textId="060BC9A8" w:rsidR="00364EFA" w:rsidRPr="00364EFA" w:rsidRDefault="00364EFA" w:rsidP="00364EFA">
      <w:pPr>
        <w:pStyle w:val="Heading2"/>
      </w:pPr>
      <w:r>
        <w:lastRenderedPageBreak/>
        <w:t>Mobile IAB-node’s Topology Integration</w:t>
      </w:r>
    </w:p>
    <w:p w14:paraId="5782F6BB" w14:textId="7B46DD52" w:rsidR="00364EFA" w:rsidRDefault="00364EFA" w:rsidP="00364EFA">
      <w:pPr>
        <w:rPr>
          <w:lang w:val="en-GB" w:eastAsia="zh-CN"/>
        </w:rPr>
      </w:pPr>
      <w:r>
        <w:rPr>
          <w:lang w:val="en-GB" w:eastAsia="zh-CN"/>
        </w:rPr>
        <w:t xml:space="preserve">Different from IAB-donor CU in Rel-16 and Rel-17, the IAB-donor CU is required to support full migration functionalities and mobility enhancements (e.g. group mobility, etc) for mobile IAB-node and served UEs. Hence, during mobile IAB-node integration to an IAB topology, it is necessary for mobile IAB-node to know which IAB-DU </w:t>
      </w:r>
      <w:r w:rsidR="005C1F2C">
        <w:rPr>
          <w:lang w:val="en-GB" w:eastAsia="zh-CN"/>
        </w:rPr>
        <w:t xml:space="preserve">or IAB-donor DU </w:t>
      </w:r>
      <w:r>
        <w:rPr>
          <w:lang w:val="en-GB" w:eastAsia="zh-CN"/>
        </w:rPr>
        <w:t>can be selected as its parent IAB-node.</w:t>
      </w:r>
      <w:r w:rsidRPr="00F35952">
        <w:rPr>
          <w:lang w:val="en-GB" w:eastAsia="zh-CN"/>
        </w:rPr>
        <w:t xml:space="preserve"> </w:t>
      </w:r>
    </w:p>
    <w:p w14:paraId="56403CF3" w14:textId="542A89B5" w:rsidR="00364EFA" w:rsidRDefault="00364EFA" w:rsidP="00364EFA">
      <w:pPr>
        <w:rPr>
          <w:lang w:val="en-GB" w:eastAsia="zh-CN"/>
        </w:rPr>
      </w:pPr>
      <w:r>
        <w:rPr>
          <w:lang w:val="en-GB" w:eastAsia="zh-CN"/>
        </w:rPr>
        <w:t xml:space="preserve">The IAB-DU </w:t>
      </w:r>
      <w:r w:rsidR="00F9086D">
        <w:rPr>
          <w:lang w:val="en-GB" w:eastAsia="zh-CN"/>
        </w:rPr>
        <w:t xml:space="preserve">or IAB-donor DU </w:t>
      </w:r>
      <w:r>
        <w:rPr>
          <w:lang w:val="en-GB" w:eastAsia="zh-CN"/>
        </w:rPr>
        <w:t xml:space="preserve">which can support direct integration of a mobile IAB-node (i.e. become the parent IAB-node of a mobile IAB-node) needs to provide the “mobile IAB-node support” indication (e.g. </w:t>
      </w:r>
      <w:r w:rsidRPr="00D77FD0">
        <w:rPr>
          <w:i/>
          <w:iCs/>
          <w:lang w:val="en-GB" w:eastAsia="zh-CN"/>
        </w:rPr>
        <w:t>miab-</w:t>
      </w:r>
      <w:r>
        <w:rPr>
          <w:i/>
          <w:iCs/>
          <w:lang w:val="en-GB" w:eastAsia="zh-CN"/>
        </w:rPr>
        <w:t>S</w:t>
      </w:r>
      <w:r w:rsidRPr="00D77FD0">
        <w:rPr>
          <w:i/>
          <w:iCs/>
          <w:lang w:val="en-GB" w:eastAsia="zh-CN"/>
        </w:rPr>
        <w:t>upport</w:t>
      </w:r>
      <w:r>
        <w:rPr>
          <w:lang w:val="en-GB" w:eastAsia="zh-CN"/>
        </w:rPr>
        <w:t>) in its broadcast information, e.g. SIB1, so that the mobile IAB-node can select the suitable IAB-node and IAB-donor CU.</w:t>
      </w:r>
    </w:p>
    <w:p w14:paraId="796F0805" w14:textId="246CE071" w:rsidR="00364EFA" w:rsidRPr="00AC16E8" w:rsidRDefault="00364EFA" w:rsidP="00B7150B">
      <w:pPr>
        <w:pStyle w:val="Obs-prop"/>
        <w:rPr>
          <w:lang w:eastAsia="zh-CN"/>
        </w:rPr>
      </w:pPr>
      <w:r w:rsidRPr="00AC16E8">
        <w:rPr>
          <w:lang w:eastAsia="zh-CN"/>
        </w:rPr>
        <w:t xml:space="preserve">Proposal </w:t>
      </w:r>
      <w:r w:rsidR="007F7FD3">
        <w:rPr>
          <w:lang w:eastAsia="zh-CN"/>
        </w:rPr>
        <w:t>5</w:t>
      </w:r>
      <w:r w:rsidRPr="00AC16E8">
        <w:rPr>
          <w:lang w:eastAsia="zh-CN"/>
        </w:rPr>
        <w:t xml:space="preserve">: The IAB-DU which can be the parent IAB-node of a mobile IAB-node broadcasts a </w:t>
      </w:r>
      <w:r>
        <w:rPr>
          <w:lang w:eastAsia="zh-CN"/>
        </w:rPr>
        <w:t xml:space="preserve">“mobile IAB-node support” </w:t>
      </w:r>
      <w:r w:rsidRPr="00AC16E8">
        <w:rPr>
          <w:lang w:eastAsia="zh-CN"/>
        </w:rPr>
        <w:t>indication in its SIB1, indicating it supports mobile IAB-node integration.</w:t>
      </w:r>
    </w:p>
    <w:p w14:paraId="4A437F05" w14:textId="77777777" w:rsidR="00364EFA" w:rsidRPr="000D63A3" w:rsidRDefault="00364EFA" w:rsidP="00C21771"/>
    <w:p w14:paraId="156E8768" w14:textId="2FFF215A" w:rsidR="004170DD" w:rsidRDefault="004170DD">
      <w:pPr>
        <w:pStyle w:val="Heading2"/>
      </w:pPr>
      <w:r>
        <w:t>PCI handling of mobile IAB-node</w:t>
      </w:r>
      <w:r w:rsidR="00455685">
        <w:t xml:space="preserve"> for Full migration</w:t>
      </w:r>
    </w:p>
    <w:p w14:paraId="21057534" w14:textId="5DA0ED94" w:rsidR="00A61057" w:rsidRDefault="00250481" w:rsidP="00250481">
      <w:pPr>
        <w:rPr>
          <w:lang w:val="en-GB"/>
        </w:rPr>
      </w:pPr>
      <w:r>
        <w:rPr>
          <w:lang w:val="en-GB"/>
        </w:rPr>
        <w:t>A</w:t>
      </w:r>
      <w:r w:rsidR="00475DF6">
        <w:rPr>
          <w:lang w:val="en-GB"/>
        </w:rPr>
        <w:t xml:space="preserve">s discussed above in Section 2.1.3.1, the served UEs can perform legacy handover </w:t>
      </w:r>
      <w:r w:rsidR="00E938DC">
        <w:rPr>
          <w:lang w:val="en-GB"/>
        </w:rPr>
        <w:t xml:space="preserve">between two logical DUs. </w:t>
      </w:r>
      <w:r w:rsidR="00A61057">
        <w:rPr>
          <w:lang w:val="en-GB"/>
        </w:rPr>
        <w:t xml:space="preserve">Based on the LS responses from RAN1 and RAN4 </w:t>
      </w:r>
      <w:r w:rsidR="002747D8">
        <w:rPr>
          <w:lang w:val="en-GB"/>
        </w:rPr>
        <w:t xml:space="preserve">[1,5] </w:t>
      </w:r>
      <w:r w:rsidR="00A61057">
        <w:rPr>
          <w:lang w:val="en-GB"/>
        </w:rPr>
        <w:t xml:space="preserve">during the Rel-17 discussions, it appears </w:t>
      </w:r>
      <w:r w:rsidR="00E938DC">
        <w:rPr>
          <w:lang w:val="en-GB"/>
        </w:rPr>
        <w:t xml:space="preserve">separate PCIs should be used by these two logical DUs. </w:t>
      </w:r>
      <w:r w:rsidR="00A61057">
        <w:rPr>
          <w:lang w:val="en-GB"/>
        </w:rPr>
        <w:t>That is, every time there is a full migration of the mIAB node, a new PCI is used for the mIAB cell after the migration.</w:t>
      </w:r>
    </w:p>
    <w:p w14:paraId="5C0A29CD" w14:textId="4BD4598D" w:rsidR="00382804" w:rsidRDefault="009E0772" w:rsidP="00250481">
      <w:pPr>
        <w:rPr>
          <w:lang w:val="en-GB"/>
        </w:rPr>
      </w:pPr>
      <w:r>
        <w:rPr>
          <w:lang w:val="en-GB"/>
        </w:rPr>
        <w:t xml:space="preserve">RAN2 can either take a decision based on these previous RAN1/4 </w:t>
      </w:r>
      <w:proofErr w:type="spellStart"/>
      <w:r>
        <w:rPr>
          <w:lang w:val="en-GB"/>
        </w:rPr>
        <w:t>LSes</w:t>
      </w:r>
      <w:proofErr w:type="spellEnd"/>
      <w:r>
        <w:rPr>
          <w:lang w:val="en-GB"/>
        </w:rPr>
        <w:t xml:space="preserve"> or request feedback</w:t>
      </w:r>
      <w:r w:rsidR="00570682">
        <w:rPr>
          <w:lang w:val="en-GB"/>
        </w:rPr>
        <w:t>/</w:t>
      </w:r>
      <w:r w:rsidR="00E10F36">
        <w:rPr>
          <w:lang w:val="en-GB"/>
        </w:rPr>
        <w:t xml:space="preserve">confirmation </w:t>
      </w:r>
      <w:r w:rsidR="00570682">
        <w:rPr>
          <w:lang w:val="en-GB"/>
        </w:rPr>
        <w:t>from RAN1/4 a</w:t>
      </w:r>
      <w:r>
        <w:rPr>
          <w:lang w:val="en-GB"/>
        </w:rPr>
        <w:t xml:space="preserve">gain.  </w:t>
      </w:r>
      <w:r w:rsidR="00455685">
        <w:rPr>
          <w:lang w:val="en-GB"/>
        </w:rPr>
        <w:t xml:space="preserve">It is quite likely that at PCI change will need to be supported </w:t>
      </w:r>
      <w:r w:rsidR="00E10F36">
        <w:rPr>
          <w:lang w:val="en-GB"/>
        </w:rPr>
        <w:t xml:space="preserve">in the specification </w:t>
      </w:r>
      <w:r w:rsidR="00455685">
        <w:rPr>
          <w:lang w:val="en-GB"/>
        </w:rPr>
        <w:t xml:space="preserve">due to </w:t>
      </w:r>
      <w:r w:rsidR="00E10F36">
        <w:rPr>
          <w:lang w:val="en-GB"/>
        </w:rPr>
        <w:t xml:space="preserve">potential </w:t>
      </w:r>
      <w:r w:rsidR="00455685">
        <w:rPr>
          <w:lang w:val="en-GB"/>
        </w:rPr>
        <w:t xml:space="preserve">PCI collision between fixed nodes or other mIAB nodes. </w:t>
      </w:r>
      <w:r w:rsidR="00577B7B">
        <w:rPr>
          <w:lang w:val="en-GB"/>
        </w:rPr>
        <w:t>RAN3 can further study details on allocating and managing PCIs.</w:t>
      </w:r>
      <w:r w:rsidR="00455685">
        <w:rPr>
          <w:lang w:val="en-GB"/>
        </w:rPr>
        <w:t xml:space="preserve"> </w:t>
      </w:r>
      <w:r w:rsidR="00570682">
        <w:rPr>
          <w:lang w:val="en-GB"/>
        </w:rPr>
        <w:t xml:space="preserve"> </w:t>
      </w:r>
    </w:p>
    <w:p w14:paraId="4E98758F" w14:textId="2C7C5F0D" w:rsidR="00382804" w:rsidRDefault="00903E64" w:rsidP="00250481">
      <w:pPr>
        <w:rPr>
          <w:lang w:val="en-GB"/>
        </w:rPr>
      </w:pPr>
      <w:r>
        <w:rPr>
          <w:lang w:val="en-GB"/>
        </w:rPr>
        <w:t xml:space="preserve">Also, </w:t>
      </w:r>
      <w:r w:rsidR="00F21BD6">
        <w:rPr>
          <w:lang w:val="en-GB"/>
        </w:rPr>
        <w:t xml:space="preserve">as discussed earlier, whether PCI </w:t>
      </w:r>
      <w:r w:rsidR="00E10F36">
        <w:rPr>
          <w:lang w:val="en-GB"/>
        </w:rPr>
        <w:t>changes</w:t>
      </w:r>
      <w:r w:rsidR="00F21BD6">
        <w:rPr>
          <w:lang w:val="en-GB"/>
        </w:rPr>
        <w:t xml:space="preserve"> during </w:t>
      </w:r>
      <w:r w:rsidR="00C24900">
        <w:rPr>
          <w:lang w:val="en-GB"/>
        </w:rPr>
        <w:t xml:space="preserve">standalone full migration also has an impact to how to send </w:t>
      </w:r>
      <w:r w:rsidR="00C24900" w:rsidRPr="008A30D2">
        <w:rPr>
          <w:i/>
          <w:iCs/>
          <w:lang w:val="en-GB"/>
        </w:rPr>
        <w:t>RRCReconfiguration</w:t>
      </w:r>
      <w:r w:rsidR="00C24900">
        <w:rPr>
          <w:lang w:val="en-GB"/>
        </w:rPr>
        <w:t xml:space="preserve"> messages to the served UEs.</w:t>
      </w:r>
      <w:r w:rsidR="00E745F0">
        <w:rPr>
          <w:lang w:val="en-GB"/>
        </w:rPr>
        <w:t xml:space="preserve"> </w:t>
      </w:r>
    </w:p>
    <w:p w14:paraId="0F1AB69E" w14:textId="3A572D9F" w:rsidR="009E0772" w:rsidRDefault="009E0772" w:rsidP="00250481">
      <w:pPr>
        <w:rPr>
          <w:lang w:val="en-GB"/>
        </w:rPr>
      </w:pPr>
      <w:r>
        <w:rPr>
          <w:lang w:val="en-GB"/>
        </w:rPr>
        <w:t>To minimise additional LS</w:t>
      </w:r>
      <w:r w:rsidR="00577B7B">
        <w:rPr>
          <w:lang w:val="en-GB"/>
        </w:rPr>
        <w:t xml:space="preserve"> and delay</w:t>
      </w:r>
      <w:r>
        <w:rPr>
          <w:lang w:val="en-GB"/>
        </w:rPr>
        <w:t xml:space="preserve">, it is proposed </w:t>
      </w:r>
      <w:r w:rsidR="00577B7B">
        <w:rPr>
          <w:lang w:val="en-GB"/>
        </w:rPr>
        <w:t xml:space="preserve">that RAN2 </w:t>
      </w:r>
      <w:r w:rsidR="00E33164">
        <w:rPr>
          <w:lang w:val="en-GB"/>
        </w:rPr>
        <w:t xml:space="preserve">study impact of </w:t>
      </w:r>
      <w:r w:rsidR="00577B7B">
        <w:rPr>
          <w:lang w:val="en-GB"/>
        </w:rPr>
        <w:t xml:space="preserve">change of PCI </w:t>
      </w:r>
      <w:r w:rsidR="00E33164">
        <w:rPr>
          <w:lang w:val="en-GB"/>
        </w:rPr>
        <w:t xml:space="preserve">during full migration on </w:t>
      </w:r>
      <w:r w:rsidR="00577B7B">
        <w:rPr>
          <w:lang w:val="en-GB"/>
        </w:rPr>
        <w:t>RAN2 protocol</w:t>
      </w:r>
      <w:r w:rsidR="00473C6F">
        <w:rPr>
          <w:lang w:val="en-GB"/>
        </w:rPr>
        <w:t xml:space="preserve"> instead of waiting until RAN1/RAN4 confirms again</w:t>
      </w:r>
      <w:r>
        <w:rPr>
          <w:lang w:val="en-GB"/>
        </w:rPr>
        <w:t>:</w:t>
      </w:r>
    </w:p>
    <w:p w14:paraId="2488E2DE" w14:textId="2DB05D90" w:rsidR="00355A05" w:rsidRDefault="00355A05" w:rsidP="00577B7B">
      <w:pPr>
        <w:pStyle w:val="Obs-prop"/>
      </w:pPr>
      <w:r w:rsidRPr="006F3AA1">
        <w:t xml:space="preserve">Proposal </w:t>
      </w:r>
      <w:r w:rsidR="007F7FD3">
        <w:t>6</w:t>
      </w:r>
      <w:r w:rsidRPr="006F3AA1">
        <w:t xml:space="preserve">: </w:t>
      </w:r>
      <w:r w:rsidR="00E33164" w:rsidRPr="00E33164">
        <w:t xml:space="preserve">RAN2 can study impact of change of PCI </w:t>
      </w:r>
      <w:r w:rsidR="000454F8">
        <w:t xml:space="preserve">during full migration </w:t>
      </w:r>
      <w:r w:rsidR="00E33164" w:rsidRPr="00E33164">
        <w:t>on RAN2 protocol</w:t>
      </w:r>
      <w:r w:rsidR="003B2BD1">
        <w:t>s</w:t>
      </w:r>
      <w:r w:rsidR="00E33164">
        <w:t>.</w:t>
      </w:r>
    </w:p>
    <w:p w14:paraId="2D3797AA" w14:textId="77777777" w:rsidR="00017FC6" w:rsidRDefault="00017FC6" w:rsidP="00017FC6">
      <w:pPr>
        <w:pStyle w:val="Heading1"/>
      </w:pPr>
      <w:r>
        <w:t>Conclusion</w:t>
      </w:r>
    </w:p>
    <w:p w14:paraId="48C21BF1" w14:textId="6202191B" w:rsidR="00025E78" w:rsidRDefault="00017FC6" w:rsidP="00025E78">
      <w:r>
        <w:t xml:space="preserve">In this contribution, </w:t>
      </w:r>
      <w:r w:rsidR="00025E78">
        <w:t>we mainly</w:t>
      </w:r>
      <w:r w:rsidR="00F53B17">
        <w:t xml:space="preserve"> discussed </w:t>
      </w:r>
      <w:r w:rsidR="00B92BE0">
        <w:t>RAN2 impacts of two mobile IAB-node full migration options, i.e. partial migration based full migration and standalone full migration</w:t>
      </w:r>
      <w:r w:rsidR="002B20FB">
        <w:t xml:space="preserve">, including </w:t>
      </w:r>
      <w:r w:rsidR="006D670B">
        <w:t xml:space="preserve">RRC Reconfiguration </w:t>
      </w:r>
      <w:r w:rsidR="00387F4C">
        <w:t xml:space="preserve">(HO) </w:t>
      </w:r>
      <w:r w:rsidR="006D670B">
        <w:t xml:space="preserve">procedure handling, </w:t>
      </w:r>
      <w:r w:rsidR="00387F4C">
        <w:t xml:space="preserve">F1 setup, </w:t>
      </w:r>
      <w:r w:rsidR="006D670B">
        <w:t>PCI handling, etc</w:t>
      </w:r>
      <w:r w:rsidR="00680F66">
        <w:t>.</w:t>
      </w:r>
      <w:r w:rsidR="00B92BE0">
        <w:t xml:space="preserve"> Additionally, we also discussed topology integration </w:t>
      </w:r>
      <w:r w:rsidR="006D670B">
        <w:t>of mobile IAB-node</w:t>
      </w:r>
      <w:r w:rsidR="001E1C89">
        <w:t>.</w:t>
      </w:r>
    </w:p>
    <w:p w14:paraId="29F86272" w14:textId="77777777" w:rsidR="00742A32" w:rsidRDefault="00742A32" w:rsidP="00742A32">
      <w:r>
        <w:t>We propose following observations and proposals:</w:t>
      </w:r>
    </w:p>
    <w:p w14:paraId="04C064B0" w14:textId="77777777" w:rsidR="007D02AF" w:rsidRPr="0011560A" w:rsidRDefault="007D02AF" w:rsidP="007D02AF">
      <w:pPr>
        <w:pStyle w:val="Obs-prop"/>
        <w:rPr>
          <w:rFonts w:cs="Times New Roman"/>
          <w:lang w:eastAsia="zh-CN"/>
        </w:rPr>
      </w:pPr>
      <w:r w:rsidRPr="0011560A">
        <w:rPr>
          <w:rFonts w:cs="Times New Roman"/>
          <w:lang w:eastAsia="zh-CN"/>
        </w:rPr>
        <w:t>Observation</w:t>
      </w:r>
      <w:r>
        <w:rPr>
          <w:rFonts w:cs="Times New Roman"/>
          <w:lang w:eastAsia="zh-CN"/>
        </w:rPr>
        <w:t xml:space="preserve"> 1</w:t>
      </w:r>
      <w:r w:rsidRPr="0011560A">
        <w:rPr>
          <w:rFonts w:cs="Times New Roman"/>
          <w:lang w:eastAsia="zh-CN"/>
        </w:rPr>
        <w:t xml:space="preserve">: Intra-donor CU migration for the </w:t>
      </w:r>
      <w:proofErr w:type="spellStart"/>
      <w:r w:rsidRPr="0011560A">
        <w:rPr>
          <w:rFonts w:cs="Times New Roman"/>
          <w:lang w:eastAsia="zh-CN"/>
        </w:rPr>
        <w:t>mIAB</w:t>
      </w:r>
      <w:proofErr w:type="spellEnd"/>
      <w:r w:rsidRPr="0011560A">
        <w:rPr>
          <w:rFonts w:cs="Times New Roman"/>
          <w:lang w:eastAsia="zh-CN"/>
        </w:rPr>
        <w:t xml:space="preserve"> node can re-use Rel-17 IAB intra-donor CU migration procedure with no additional impact on </w:t>
      </w:r>
      <w:proofErr w:type="spellStart"/>
      <w:r w:rsidRPr="0011560A">
        <w:rPr>
          <w:rFonts w:cs="Times New Roman"/>
          <w:lang w:eastAsia="zh-CN"/>
        </w:rPr>
        <w:t>mIAB</w:t>
      </w:r>
      <w:proofErr w:type="spellEnd"/>
      <w:r w:rsidRPr="0011560A">
        <w:rPr>
          <w:rFonts w:cs="Times New Roman"/>
          <w:lang w:eastAsia="zh-CN"/>
        </w:rPr>
        <w:t xml:space="preserve"> or UEs.</w:t>
      </w:r>
    </w:p>
    <w:p w14:paraId="63E3616B" w14:textId="0589F8B4" w:rsidR="007D02AF" w:rsidRPr="003D6112" w:rsidRDefault="007D02AF" w:rsidP="007D02AF">
      <w:pPr>
        <w:pStyle w:val="Obs-prop"/>
        <w:rPr>
          <w:lang w:eastAsia="zh-CN"/>
        </w:rPr>
      </w:pPr>
      <w:r w:rsidRPr="003D6112">
        <w:rPr>
          <w:lang w:eastAsia="zh-CN"/>
        </w:rPr>
        <w:t xml:space="preserve">Observation </w:t>
      </w:r>
      <w:r>
        <w:rPr>
          <w:lang w:eastAsia="zh-CN"/>
        </w:rPr>
        <w:t>2</w:t>
      </w:r>
      <w:r w:rsidRPr="003D6112">
        <w:rPr>
          <w:lang w:eastAsia="zh-CN"/>
        </w:rPr>
        <w:t xml:space="preserve">: </w:t>
      </w:r>
      <w:r>
        <w:rPr>
          <w:lang w:eastAsia="zh-CN"/>
        </w:rPr>
        <w:t xml:space="preserve">RAN3 should discuss whether </w:t>
      </w:r>
      <w:r w:rsidRPr="003D6112">
        <w:rPr>
          <w:lang w:eastAsia="zh-CN"/>
        </w:rPr>
        <w:t>IP connecti</w:t>
      </w:r>
      <w:r>
        <w:rPr>
          <w:lang w:eastAsia="zh-CN"/>
        </w:rPr>
        <w:t>vity</w:t>
      </w:r>
      <w:r w:rsidRPr="003D6112">
        <w:rPr>
          <w:lang w:eastAsia="zh-CN"/>
        </w:rPr>
        <w:t xml:space="preserve"> between </w:t>
      </w:r>
      <w:r>
        <w:rPr>
          <w:lang w:eastAsia="zh-CN"/>
        </w:rPr>
        <w:t xml:space="preserve">the </w:t>
      </w:r>
      <w:r w:rsidRPr="003D6112">
        <w:rPr>
          <w:lang w:eastAsia="zh-CN"/>
        </w:rPr>
        <w:t xml:space="preserve">target IAB-donor DU and </w:t>
      </w:r>
      <w:r>
        <w:rPr>
          <w:lang w:eastAsia="zh-CN"/>
        </w:rPr>
        <w:t xml:space="preserve">the </w:t>
      </w:r>
      <w:r w:rsidRPr="003D6112">
        <w:rPr>
          <w:lang w:eastAsia="zh-CN"/>
        </w:rPr>
        <w:t xml:space="preserve">source IAB-donor CU </w:t>
      </w:r>
      <w:r>
        <w:rPr>
          <w:lang w:eastAsia="zh-CN"/>
        </w:rPr>
        <w:t xml:space="preserve">can always be guaranteed </w:t>
      </w:r>
      <w:r w:rsidRPr="003D6112">
        <w:rPr>
          <w:lang w:eastAsia="zh-CN"/>
        </w:rPr>
        <w:t xml:space="preserve">when </w:t>
      </w:r>
      <w:r>
        <w:rPr>
          <w:lang w:eastAsia="zh-CN"/>
        </w:rPr>
        <w:t xml:space="preserve">a </w:t>
      </w:r>
      <w:r w:rsidRPr="003D6112">
        <w:rPr>
          <w:lang w:eastAsia="zh-CN"/>
        </w:rPr>
        <w:t>mobile IAB-node moves across IP network boundar</w:t>
      </w:r>
      <w:r>
        <w:rPr>
          <w:lang w:eastAsia="zh-CN"/>
        </w:rPr>
        <w:t>ies</w:t>
      </w:r>
      <w:r w:rsidRPr="003D6112">
        <w:rPr>
          <w:lang w:eastAsia="zh-CN"/>
        </w:rPr>
        <w:t>.</w:t>
      </w:r>
    </w:p>
    <w:p w14:paraId="251D2987" w14:textId="77777777" w:rsidR="007D02AF" w:rsidRDefault="007D02AF" w:rsidP="007D02AF">
      <w:pPr>
        <w:pStyle w:val="Obs-prop"/>
        <w:rPr>
          <w:lang w:eastAsia="zh-CN"/>
        </w:rPr>
      </w:pPr>
      <w:r w:rsidRPr="003D6112">
        <w:rPr>
          <w:lang w:eastAsia="zh-CN"/>
        </w:rPr>
        <w:lastRenderedPageBreak/>
        <w:t xml:space="preserve">Observation </w:t>
      </w:r>
      <w:r>
        <w:rPr>
          <w:lang w:eastAsia="zh-CN"/>
        </w:rPr>
        <w:t>3</w:t>
      </w:r>
      <w:r w:rsidRPr="003D6112">
        <w:rPr>
          <w:lang w:eastAsia="zh-CN"/>
        </w:rPr>
        <w:t xml:space="preserve">: </w:t>
      </w:r>
      <w:r>
        <w:rPr>
          <w:lang w:eastAsia="zh-CN"/>
        </w:rPr>
        <w:t>Based on the availability of IP connection establishment between target donor DU and source donor CU, there are two options that can be considered for mobile IAB-node’s full migration:</w:t>
      </w:r>
    </w:p>
    <w:p w14:paraId="6ACEE9D8" w14:textId="1916C757" w:rsidR="007D02AF" w:rsidRPr="008A30D2" w:rsidRDefault="007D02AF" w:rsidP="007D02AF">
      <w:pPr>
        <w:pStyle w:val="Obs-prop"/>
      </w:pPr>
      <w:r>
        <w:rPr>
          <w:lang w:eastAsia="zh-CN"/>
        </w:rPr>
        <w:t>1)</w:t>
      </w:r>
      <w:r w:rsidRPr="00FA4948">
        <w:t xml:space="preserve"> </w:t>
      </w:r>
      <w:r w:rsidRPr="00FA4948">
        <w:rPr>
          <w:lang w:eastAsia="zh-CN"/>
        </w:rPr>
        <w:t>Option 1: partial migration based full migration (</w:t>
      </w:r>
      <w:r>
        <w:rPr>
          <w:lang w:eastAsia="zh-CN"/>
        </w:rPr>
        <w:t xml:space="preserve">if </w:t>
      </w:r>
      <w:r w:rsidRPr="00FA4948">
        <w:rPr>
          <w:lang w:eastAsia="zh-CN"/>
        </w:rPr>
        <w:t>IP connecti</w:t>
      </w:r>
      <w:r w:rsidRPr="008A30D2">
        <w:t xml:space="preserve">on </w:t>
      </w:r>
      <w:r>
        <w:t xml:space="preserve">between IAB-donor-DU2 and IAB donor CU1 </w:t>
      </w:r>
      <w:r w:rsidRPr="008A30D2">
        <w:t>is available)</w:t>
      </w:r>
    </w:p>
    <w:p w14:paraId="1EEE0074" w14:textId="5215DE71" w:rsidR="007D02AF" w:rsidRPr="003D6112" w:rsidRDefault="007D02AF" w:rsidP="007D02AF">
      <w:pPr>
        <w:pStyle w:val="Obs-prop"/>
        <w:rPr>
          <w:lang w:eastAsia="zh-CN"/>
        </w:rPr>
      </w:pPr>
      <w:r>
        <w:rPr>
          <w:lang w:eastAsia="zh-CN"/>
        </w:rPr>
        <w:t>2)</w:t>
      </w:r>
      <w:r w:rsidRPr="00FA4948">
        <w:t xml:space="preserve"> </w:t>
      </w:r>
      <w:r w:rsidRPr="00FA4948">
        <w:rPr>
          <w:lang w:eastAsia="zh-CN"/>
        </w:rPr>
        <w:t>Option 2: standalone full migration (</w:t>
      </w:r>
      <w:r>
        <w:rPr>
          <w:lang w:eastAsia="zh-CN"/>
        </w:rPr>
        <w:t xml:space="preserve">if </w:t>
      </w:r>
      <w:r w:rsidRPr="00FA4948">
        <w:rPr>
          <w:lang w:eastAsia="zh-CN"/>
        </w:rPr>
        <w:t>IP connecti</w:t>
      </w:r>
      <w:r w:rsidRPr="00631D89">
        <w:t xml:space="preserve">on </w:t>
      </w:r>
      <w:r>
        <w:t xml:space="preserve">between IAB-donor-DU2 and IAB donor CU1 </w:t>
      </w:r>
      <w:r w:rsidRPr="00631D89">
        <w:t xml:space="preserve">is </w:t>
      </w:r>
      <w:r w:rsidRPr="008A30D2">
        <w:rPr>
          <w:u w:val="single"/>
        </w:rPr>
        <w:t>not</w:t>
      </w:r>
      <w:r>
        <w:t xml:space="preserve"> </w:t>
      </w:r>
      <w:r w:rsidRPr="00631D89">
        <w:t>available)</w:t>
      </w:r>
      <w:r w:rsidRPr="00FA4948" w:rsidDel="00771B45">
        <w:rPr>
          <w:lang w:eastAsia="zh-CN"/>
        </w:rPr>
        <w:t xml:space="preserve"> </w:t>
      </w:r>
    </w:p>
    <w:p w14:paraId="2B9414B8" w14:textId="50E5ED43" w:rsidR="007D02AF" w:rsidRPr="00390D8D" w:rsidRDefault="007D02AF" w:rsidP="007D02AF">
      <w:pPr>
        <w:pStyle w:val="Obs-prop"/>
      </w:pPr>
      <w:r w:rsidRPr="00F4789B">
        <w:t xml:space="preserve">Proposal </w:t>
      </w:r>
      <w:r>
        <w:t>1</w:t>
      </w:r>
      <w:r w:rsidRPr="00F4789B">
        <w:t xml:space="preserve">: </w:t>
      </w:r>
      <w:r>
        <w:t xml:space="preserve">For partial migration based full migration, legacy handover procedure can be used to switch served UEs from one logical mobile IAB-DU/cell (the source IAB-donor-CU) to another logical mobile IAB-DU/cell (the target IAB-donor-CU) in the same </w:t>
      </w:r>
      <w:proofErr w:type="spellStart"/>
      <w:r>
        <w:t>mIAB</w:t>
      </w:r>
      <w:proofErr w:type="spellEnd"/>
      <w:r>
        <w:t xml:space="preserve"> node</w:t>
      </w:r>
      <w:r w:rsidRPr="00F4789B">
        <w:rPr>
          <w:b w:val="0"/>
        </w:rPr>
        <w:t>.</w:t>
      </w:r>
      <w:r>
        <w:rPr>
          <w:b w:val="0"/>
        </w:rPr>
        <w:t xml:space="preserve">  </w:t>
      </w:r>
      <w:r>
        <w:t xml:space="preserve">The source IAB-donor CU can gradually trigger served UEs’ handover to avoid congestion.  </w:t>
      </w:r>
    </w:p>
    <w:p w14:paraId="6AEBA19F" w14:textId="77777777" w:rsidR="007D02AF" w:rsidRPr="0006619D" w:rsidRDefault="007D02AF" w:rsidP="007D02AF">
      <w:pPr>
        <w:pStyle w:val="Obs-prop"/>
      </w:pPr>
      <w:r w:rsidRPr="0006619D">
        <w:t xml:space="preserve">Proposal </w:t>
      </w:r>
      <w:r>
        <w:t>2</w:t>
      </w:r>
      <w:r w:rsidRPr="0006619D">
        <w:t xml:space="preserve">: </w:t>
      </w:r>
      <w:r>
        <w:t>For standalone full migration (if supported), transfer of HO command and data resumption to served UE should be studied.</w:t>
      </w:r>
    </w:p>
    <w:p w14:paraId="6CA4353D" w14:textId="1FCBF0F8" w:rsidR="007D02AF" w:rsidRPr="00885EEE" w:rsidRDefault="007D02AF" w:rsidP="007D02AF">
      <w:pPr>
        <w:pStyle w:val="Obs-prop"/>
        <w:rPr>
          <w:lang w:eastAsia="zh-CN"/>
        </w:rPr>
      </w:pPr>
      <w:r w:rsidRPr="00885EEE">
        <w:rPr>
          <w:lang w:eastAsia="zh-CN"/>
        </w:rPr>
        <w:t xml:space="preserve">Proposal </w:t>
      </w:r>
      <w:r>
        <w:rPr>
          <w:lang w:eastAsia="zh-CN"/>
        </w:rPr>
        <w:t>3</w:t>
      </w:r>
      <w:r w:rsidRPr="00885EEE">
        <w:rPr>
          <w:lang w:eastAsia="zh-CN"/>
        </w:rPr>
        <w:t xml:space="preserve">: </w:t>
      </w:r>
      <w:r>
        <w:rPr>
          <w:lang w:eastAsia="zh-CN"/>
        </w:rPr>
        <w:t>CHO is supported for the mobile IAB-MT during inter-donor CU full migration</w:t>
      </w:r>
      <w:r w:rsidRPr="00885EEE">
        <w:rPr>
          <w:lang w:eastAsia="zh-CN"/>
        </w:rPr>
        <w:t>.</w:t>
      </w:r>
    </w:p>
    <w:p w14:paraId="729B5553" w14:textId="77777777" w:rsidR="007D02AF" w:rsidRPr="00B8492D" w:rsidRDefault="007D02AF" w:rsidP="007D02AF">
      <w:pPr>
        <w:pStyle w:val="Obs-prop"/>
        <w:rPr>
          <w:lang w:eastAsia="zh-CN"/>
        </w:rPr>
      </w:pPr>
      <w:r>
        <w:rPr>
          <w:lang w:eastAsia="zh-CN"/>
        </w:rPr>
        <w:t xml:space="preserve">Proposal 4: Enhancements to support simpler “Handover” procedure for security change during </w:t>
      </w:r>
      <w:proofErr w:type="spellStart"/>
      <w:r>
        <w:rPr>
          <w:lang w:eastAsia="zh-CN"/>
        </w:rPr>
        <w:t>mIAB</w:t>
      </w:r>
      <w:proofErr w:type="spellEnd"/>
      <w:r>
        <w:rPr>
          <w:lang w:eastAsia="zh-CN"/>
        </w:rPr>
        <w:t xml:space="preserve"> inter-donor-CU full migration should be studied.</w:t>
      </w:r>
    </w:p>
    <w:p w14:paraId="4C254E35" w14:textId="77777777" w:rsidR="007D02AF" w:rsidRPr="00AC16E8" w:rsidRDefault="007D02AF" w:rsidP="007D02AF">
      <w:pPr>
        <w:pStyle w:val="Obs-prop"/>
        <w:rPr>
          <w:lang w:eastAsia="zh-CN"/>
        </w:rPr>
      </w:pPr>
      <w:r w:rsidRPr="00AC16E8">
        <w:rPr>
          <w:lang w:eastAsia="zh-CN"/>
        </w:rPr>
        <w:t xml:space="preserve">Proposal </w:t>
      </w:r>
      <w:r>
        <w:rPr>
          <w:lang w:eastAsia="zh-CN"/>
        </w:rPr>
        <w:t>5</w:t>
      </w:r>
      <w:r w:rsidRPr="00AC16E8">
        <w:rPr>
          <w:lang w:eastAsia="zh-CN"/>
        </w:rPr>
        <w:t xml:space="preserve">: The IAB-DU which can be the parent IAB-node of a mobile IAB-node broadcasts a </w:t>
      </w:r>
      <w:r>
        <w:rPr>
          <w:lang w:eastAsia="zh-CN"/>
        </w:rPr>
        <w:t xml:space="preserve">“mobile IAB-node support” </w:t>
      </w:r>
      <w:r w:rsidRPr="00AC16E8">
        <w:rPr>
          <w:lang w:eastAsia="zh-CN"/>
        </w:rPr>
        <w:t>indication in its SIB1, indicating it supports mobile IAB-node integration.</w:t>
      </w:r>
    </w:p>
    <w:p w14:paraId="4E36273D" w14:textId="7B65DFCF" w:rsidR="007D02AF" w:rsidRDefault="007D02AF" w:rsidP="007D02AF">
      <w:pPr>
        <w:pStyle w:val="Obs-prop"/>
      </w:pPr>
      <w:r w:rsidRPr="006F3AA1">
        <w:t xml:space="preserve">Proposal </w:t>
      </w:r>
      <w:r>
        <w:t>6</w:t>
      </w:r>
      <w:r w:rsidRPr="006F3AA1">
        <w:t xml:space="preserve">: </w:t>
      </w:r>
      <w:r w:rsidRPr="00E33164">
        <w:t xml:space="preserve">RAN2 can study impact of change of PCI </w:t>
      </w:r>
      <w:r>
        <w:t xml:space="preserve">during full migration </w:t>
      </w:r>
      <w:r w:rsidRPr="00E33164">
        <w:t>on RAN2 protocol</w:t>
      </w:r>
      <w:r>
        <w:t>s.</w:t>
      </w:r>
    </w:p>
    <w:p w14:paraId="0980051C" w14:textId="6FD4C314" w:rsidR="00017FC6" w:rsidRDefault="00017FC6" w:rsidP="00017FC6"/>
    <w:p w14:paraId="0F50A711" w14:textId="77777777" w:rsidR="00017FC6" w:rsidRPr="005E43A7" w:rsidRDefault="00017FC6" w:rsidP="00017FC6">
      <w:pPr>
        <w:pStyle w:val="Heading1"/>
      </w:pPr>
      <w:r>
        <w:t>References</w:t>
      </w:r>
    </w:p>
    <w:p w14:paraId="61EBFB1C" w14:textId="596B3B38" w:rsidR="00C44528" w:rsidRDefault="008A30D2" w:rsidP="00C44528">
      <w:pPr>
        <w:pStyle w:val="ListParagraph"/>
        <w:numPr>
          <w:ilvl w:val="0"/>
          <w:numId w:val="5"/>
        </w:numPr>
        <w:rPr>
          <w:rFonts w:ascii="Times New Roman" w:hAnsi="Times New Roman"/>
          <w:sz w:val="20"/>
          <w:szCs w:val="20"/>
        </w:rPr>
      </w:pPr>
      <w:r w:rsidRPr="008A30D2">
        <w:rPr>
          <w:rFonts w:ascii="Times New Roman" w:hAnsi="Times New Roman"/>
          <w:sz w:val="20"/>
          <w:szCs w:val="20"/>
        </w:rPr>
        <w:t>R2-2207121</w:t>
      </w:r>
      <w:r w:rsidR="00540226">
        <w:rPr>
          <w:rFonts w:ascii="Times New Roman" w:hAnsi="Times New Roman"/>
          <w:sz w:val="20"/>
          <w:szCs w:val="20"/>
        </w:rPr>
        <w:t xml:space="preserve">, </w:t>
      </w:r>
      <w:r w:rsidR="00F85C5B" w:rsidRPr="00F85C5B">
        <w:rPr>
          <w:rFonts w:ascii="Times New Roman" w:hAnsi="Times New Roman"/>
          <w:sz w:val="20"/>
          <w:szCs w:val="20"/>
        </w:rPr>
        <w:t>Mobility Enhancement of mobile IAB-node</w:t>
      </w:r>
      <w:r w:rsidR="0004594A">
        <w:rPr>
          <w:rFonts w:ascii="Times New Roman" w:hAnsi="Times New Roman"/>
          <w:sz w:val="20"/>
          <w:szCs w:val="20"/>
        </w:rPr>
        <w:t xml:space="preserve"> </w:t>
      </w:r>
      <w:r w:rsidR="00F85C5B" w:rsidRPr="00F85C5B">
        <w:rPr>
          <w:rFonts w:ascii="Times New Roman" w:hAnsi="Times New Roman"/>
          <w:sz w:val="20"/>
          <w:szCs w:val="20"/>
        </w:rPr>
        <w:t>served UEs</w:t>
      </w:r>
      <w:r w:rsidR="00F85C5B">
        <w:rPr>
          <w:rFonts w:ascii="Times New Roman" w:hAnsi="Times New Roman"/>
          <w:sz w:val="20"/>
          <w:szCs w:val="20"/>
        </w:rPr>
        <w:t>, Intel Corporation</w:t>
      </w:r>
    </w:p>
    <w:p w14:paraId="1490A337" w14:textId="05642960" w:rsidR="00F7441C" w:rsidRDefault="00F7441C" w:rsidP="00C44528">
      <w:pPr>
        <w:pStyle w:val="ListParagraph"/>
        <w:numPr>
          <w:ilvl w:val="0"/>
          <w:numId w:val="5"/>
        </w:numPr>
        <w:rPr>
          <w:rFonts w:ascii="Times New Roman" w:hAnsi="Times New Roman"/>
          <w:sz w:val="20"/>
          <w:szCs w:val="20"/>
        </w:rPr>
      </w:pPr>
      <w:r>
        <w:rPr>
          <w:rFonts w:ascii="Times New Roman" w:hAnsi="Times New Roman"/>
          <w:sz w:val="20"/>
          <w:szCs w:val="20"/>
        </w:rPr>
        <w:t>R2-2109320</w:t>
      </w:r>
      <w:r w:rsidR="00AE4547">
        <w:rPr>
          <w:rFonts w:ascii="Times New Roman" w:hAnsi="Times New Roman"/>
          <w:sz w:val="20"/>
          <w:szCs w:val="20"/>
        </w:rPr>
        <w:t>, Reply LS on Inter-donor migration</w:t>
      </w:r>
    </w:p>
    <w:p w14:paraId="2A7FE5C5" w14:textId="77777777" w:rsidR="00FC54D3" w:rsidRDefault="00FC54D3" w:rsidP="00FC54D3">
      <w:pPr>
        <w:numPr>
          <w:ilvl w:val="0"/>
          <w:numId w:val="5"/>
        </w:numPr>
        <w:rPr>
          <w:lang w:eastAsia="zh-CN"/>
        </w:rPr>
      </w:pPr>
      <w:r>
        <w:rPr>
          <w:lang w:eastAsia="zh-CN"/>
        </w:rPr>
        <w:t>R1-2108529, Reply LS on Inter-donor migration, RAN1</w:t>
      </w:r>
    </w:p>
    <w:p w14:paraId="079E9188" w14:textId="77777777" w:rsidR="00FC54D3" w:rsidRDefault="00FC54D3" w:rsidP="00FC54D3">
      <w:pPr>
        <w:numPr>
          <w:ilvl w:val="0"/>
          <w:numId w:val="5"/>
        </w:numPr>
        <w:rPr>
          <w:lang w:eastAsia="zh-CN"/>
        </w:rPr>
      </w:pPr>
      <w:r>
        <w:rPr>
          <w:lang w:eastAsia="zh-CN"/>
        </w:rPr>
        <w:t>R2-2109143, Reply LS on Inter-donor migration, RAN2</w:t>
      </w:r>
    </w:p>
    <w:p w14:paraId="6941D583" w14:textId="77777777" w:rsidR="00FC54D3" w:rsidRDefault="00FC54D3" w:rsidP="00FC54D3">
      <w:pPr>
        <w:numPr>
          <w:ilvl w:val="0"/>
          <w:numId w:val="5"/>
        </w:numPr>
        <w:rPr>
          <w:lang w:eastAsia="zh-CN"/>
        </w:rPr>
      </w:pPr>
      <w:r>
        <w:rPr>
          <w:lang w:eastAsia="zh-CN"/>
        </w:rPr>
        <w:t>R4-2115354, Reply LS on Inter-donor migration, RAN4</w:t>
      </w:r>
    </w:p>
    <w:p w14:paraId="6DDA6BC8" w14:textId="79048369" w:rsidR="005D76C4" w:rsidRPr="00C44528" w:rsidRDefault="00B776EF" w:rsidP="00C44528">
      <w:pPr>
        <w:pStyle w:val="ListParagraph"/>
        <w:numPr>
          <w:ilvl w:val="0"/>
          <w:numId w:val="5"/>
        </w:numPr>
        <w:rPr>
          <w:rFonts w:ascii="Times New Roman" w:hAnsi="Times New Roman"/>
          <w:sz w:val="20"/>
          <w:szCs w:val="20"/>
        </w:rPr>
      </w:pPr>
      <w:r>
        <w:rPr>
          <w:rFonts w:ascii="Times New Roman" w:hAnsi="Times New Roman"/>
          <w:sz w:val="20"/>
          <w:szCs w:val="20"/>
        </w:rPr>
        <w:t xml:space="preserve">R3-22xxxx, </w:t>
      </w:r>
      <w:r w:rsidRPr="00B776EF">
        <w:rPr>
          <w:rFonts w:ascii="Times New Roman" w:hAnsi="Times New Roman"/>
          <w:sz w:val="20"/>
          <w:szCs w:val="20"/>
        </w:rPr>
        <w:t>Discussion on Full Migration of mobile IAB-node</w:t>
      </w:r>
      <w:r>
        <w:rPr>
          <w:rFonts w:ascii="Times New Roman" w:hAnsi="Times New Roman"/>
          <w:sz w:val="20"/>
          <w:szCs w:val="20"/>
        </w:rPr>
        <w:t>, Intel Corporation</w:t>
      </w:r>
    </w:p>
    <w:sectPr w:rsidR="005D76C4" w:rsidRPr="00C4452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C7E22" w14:textId="77777777" w:rsidR="003336E3" w:rsidRDefault="003336E3" w:rsidP="00094E6A">
      <w:pPr>
        <w:spacing w:after="0"/>
      </w:pPr>
      <w:r>
        <w:separator/>
      </w:r>
    </w:p>
  </w:endnote>
  <w:endnote w:type="continuationSeparator" w:id="0">
    <w:p w14:paraId="5FEC5A8F" w14:textId="77777777" w:rsidR="003336E3" w:rsidRDefault="003336E3" w:rsidP="00094E6A">
      <w:pPr>
        <w:spacing w:after="0"/>
      </w:pPr>
      <w:r>
        <w:continuationSeparator/>
      </w:r>
    </w:p>
  </w:endnote>
  <w:endnote w:type="continuationNotice" w:id="1">
    <w:p w14:paraId="06F05539" w14:textId="77777777" w:rsidR="003336E3" w:rsidRDefault="003336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nSymbol10">
    <w:altName w:val="Cambria"/>
    <w:charset w:val="00"/>
    <w:family w:val="roman"/>
    <w:pitch w:val="default"/>
  </w:font>
  <w:font w:name="TimesNewRomanPS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C5A5F" w14:textId="77777777" w:rsidR="003336E3" w:rsidRDefault="003336E3" w:rsidP="00094E6A">
      <w:pPr>
        <w:spacing w:after="0"/>
      </w:pPr>
      <w:r>
        <w:separator/>
      </w:r>
    </w:p>
  </w:footnote>
  <w:footnote w:type="continuationSeparator" w:id="0">
    <w:p w14:paraId="06048966" w14:textId="77777777" w:rsidR="003336E3" w:rsidRDefault="003336E3" w:rsidP="00094E6A">
      <w:pPr>
        <w:spacing w:after="0"/>
      </w:pPr>
      <w:r>
        <w:continuationSeparator/>
      </w:r>
    </w:p>
  </w:footnote>
  <w:footnote w:type="continuationNotice" w:id="1">
    <w:p w14:paraId="6523532E" w14:textId="77777777" w:rsidR="003336E3" w:rsidRDefault="003336E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D559E"/>
    <w:multiLevelType w:val="hybridMultilevel"/>
    <w:tmpl w:val="91C814A0"/>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E780606"/>
    <w:multiLevelType w:val="hybridMultilevel"/>
    <w:tmpl w:val="97587436"/>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9B6F7E"/>
    <w:multiLevelType w:val="hybridMultilevel"/>
    <w:tmpl w:val="EE04C7F8"/>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3162D2F"/>
    <w:multiLevelType w:val="multilevel"/>
    <w:tmpl w:val="16A40290"/>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lang w:val="en-US"/>
      </w:rPr>
    </w:lvl>
    <w:lvl w:ilvl="3">
      <w:start w:val="1"/>
      <w:numFmt w:val="decimal"/>
      <w:pStyle w:val="Heading4"/>
      <w:lvlText w:val="%1.%2.%3.%4"/>
      <w:lvlJc w:val="left"/>
      <w:pPr>
        <w:ind w:left="1296" w:hanging="1224"/>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15:restartNumberingAfterBreak="0">
    <w:nsid w:val="61FC553B"/>
    <w:multiLevelType w:val="hybridMultilevel"/>
    <w:tmpl w:val="7C3C79F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CD45689"/>
    <w:multiLevelType w:val="hybridMultilevel"/>
    <w:tmpl w:val="EA1600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8D12EAA"/>
    <w:multiLevelType w:val="hybridMultilevel"/>
    <w:tmpl w:val="7C3C79F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B6C322A"/>
    <w:multiLevelType w:val="hybridMultilevel"/>
    <w:tmpl w:val="7C3C79F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5"/>
  </w:num>
  <w:num w:numId="5">
    <w:abstractNumId w:val="0"/>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8"/>
  </w:num>
  <w:num w:numId="9">
    <w:abstractNumId w:val="7"/>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revisionView w:formatting="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FC6"/>
    <w:rsid w:val="00001460"/>
    <w:rsid w:val="00001929"/>
    <w:rsid w:val="00001C9B"/>
    <w:rsid w:val="00002BB7"/>
    <w:rsid w:val="00002D70"/>
    <w:rsid w:val="000039FD"/>
    <w:rsid w:val="0000423A"/>
    <w:rsid w:val="0001190B"/>
    <w:rsid w:val="00013BEF"/>
    <w:rsid w:val="00015A3B"/>
    <w:rsid w:val="00016354"/>
    <w:rsid w:val="00016EDE"/>
    <w:rsid w:val="00017FC6"/>
    <w:rsid w:val="0002231B"/>
    <w:rsid w:val="00025E78"/>
    <w:rsid w:val="000267DC"/>
    <w:rsid w:val="00031AC3"/>
    <w:rsid w:val="000322AF"/>
    <w:rsid w:val="000323E2"/>
    <w:rsid w:val="000369AD"/>
    <w:rsid w:val="00036DA9"/>
    <w:rsid w:val="000372FF"/>
    <w:rsid w:val="00042A0F"/>
    <w:rsid w:val="000433AF"/>
    <w:rsid w:val="000440C5"/>
    <w:rsid w:val="000454F8"/>
    <w:rsid w:val="0004594A"/>
    <w:rsid w:val="00045DFE"/>
    <w:rsid w:val="00045EBF"/>
    <w:rsid w:val="00050865"/>
    <w:rsid w:val="00051AF7"/>
    <w:rsid w:val="0005226F"/>
    <w:rsid w:val="000540CD"/>
    <w:rsid w:val="0005516D"/>
    <w:rsid w:val="0005751E"/>
    <w:rsid w:val="0006201C"/>
    <w:rsid w:val="00062A9B"/>
    <w:rsid w:val="000637E1"/>
    <w:rsid w:val="0006619D"/>
    <w:rsid w:val="00070265"/>
    <w:rsid w:val="00071180"/>
    <w:rsid w:val="00072091"/>
    <w:rsid w:val="000731E0"/>
    <w:rsid w:val="000743FB"/>
    <w:rsid w:val="00081B91"/>
    <w:rsid w:val="0008391E"/>
    <w:rsid w:val="00083DC4"/>
    <w:rsid w:val="000909E2"/>
    <w:rsid w:val="000915D2"/>
    <w:rsid w:val="00092C77"/>
    <w:rsid w:val="00093AEA"/>
    <w:rsid w:val="00093DDA"/>
    <w:rsid w:val="00094E6A"/>
    <w:rsid w:val="000963FA"/>
    <w:rsid w:val="00096E8F"/>
    <w:rsid w:val="000A1A97"/>
    <w:rsid w:val="000A1AAC"/>
    <w:rsid w:val="000A1E37"/>
    <w:rsid w:val="000A5E63"/>
    <w:rsid w:val="000B011B"/>
    <w:rsid w:val="000B0966"/>
    <w:rsid w:val="000B0C79"/>
    <w:rsid w:val="000B1312"/>
    <w:rsid w:val="000B1D8B"/>
    <w:rsid w:val="000B1EAD"/>
    <w:rsid w:val="000B27B8"/>
    <w:rsid w:val="000B5316"/>
    <w:rsid w:val="000C093F"/>
    <w:rsid w:val="000C1A5A"/>
    <w:rsid w:val="000C1E8A"/>
    <w:rsid w:val="000C3449"/>
    <w:rsid w:val="000D072A"/>
    <w:rsid w:val="000D1C01"/>
    <w:rsid w:val="000D5D40"/>
    <w:rsid w:val="000D63A3"/>
    <w:rsid w:val="000E1B51"/>
    <w:rsid w:val="000E3249"/>
    <w:rsid w:val="000E4EB9"/>
    <w:rsid w:val="000E5529"/>
    <w:rsid w:val="000E64BC"/>
    <w:rsid w:val="000E6774"/>
    <w:rsid w:val="000E67A7"/>
    <w:rsid w:val="000E6A0E"/>
    <w:rsid w:val="000E6D8D"/>
    <w:rsid w:val="000E7B9F"/>
    <w:rsid w:val="000E7CFE"/>
    <w:rsid w:val="000E7EC8"/>
    <w:rsid w:val="000F025C"/>
    <w:rsid w:val="000F0285"/>
    <w:rsid w:val="000F1CC0"/>
    <w:rsid w:val="000F554F"/>
    <w:rsid w:val="000F61D8"/>
    <w:rsid w:val="000F6492"/>
    <w:rsid w:val="000F68ED"/>
    <w:rsid w:val="00105565"/>
    <w:rsid w:val="00107221"/>
    <w:rsid w:val="001108E5"/>
    <w:rsid w:val="00110D3A"/>
    <w:rsid w:val="001113CE"/>
    <w:rsid w:val="0011395D"/>
    <w:rsid w:val="001146ED"/>
    <w:rsid w:val="0011560A"/>
    <w:rsid w:val="00120860"/>
    <w:rsid w:val="00122AE5"/>
    <w:rsid w:val="001231C6"/>
    <w:rsid w:val="00124176"/>
    <w:rsid w:val="0012599F"/>
    <w:rsid w:val="00126823"/>
    <w:rsid w:val="00130F66"/>
    <w:rsid w:val="00131C86"/>
    <w:rsid w:val="001333FC"/>
    <w:rsid w:val="0013453C"/>
    <w:rsid w:val="00134EA6"/>
    <w:rsid w:val="00135456"/>
    <w:rsid w:val="00140CA5"/>
    <w:rsid w:val="00142BE9"/>
    <w:rsid w:val="00142E31"/>
    <w:rsid w:val="00145799"/>
    <w:rsid w:val="00145E00"/>
    <w:rsid w:val="00147C10"/>
    <w:rsid w:val="00150047"/>
    <w:rsid w:val="00151876"/>
    <w:rsid w:val="0015354F"/>
    <w:rsid w:val="0015378F"/>
    <w:rsid w:val="001568B8"/>
    <w:rsid w:val="00156F7F"/>
    <w:rsid w:val="00162003"/>
    <w:rsid w:val="00163423"/>
    <w:rsid w:val="00174FBA"/>
    <w:rsid w:val="00184007"/>
    <w:rsid w:val="00184C7E"/>
    <w:rsid w:val="001862EA"/>
    <w:rsid w:val="00186323"/>
    <w:rsid w:val="00186720"/>
    <w:rsid w:val="001937AD"/>
    <w:rsid w:val="001954A1"/>
    <w:rsid w:val="0019598E"/>
    <w:rsid w:val="00197910"/>
    <w:rsid w:val="001A1D21"/>
    <w:rsid w:val="001A49F8"/>
    <w:rsid w:val="001A521C"/>
    <w:rsid w:val="001A6617"/>
    <w:rsid w:val="001A73D8"/>
    <w:rsid w:val="001A7C23"/>
    <w:rsid w:val="001B39BE"/>
    <w:rsid w:val="001B5AAE"/>
    <w:rsid w:val="001B6DBD"/>
    <w:rsid w:val="001B6E09"/>
    <w:rsid w:val="001B7083"/>
    <w:rsid w:val="001B79E5"/>
    <w:rsid w:val="001B7B05"/>
    <w:rsid w:val="001C09F8"/>
    <w:rsid w:val="001C1772"/>
    <w:rsid w:val="001C2736"/>
    <w:rsid w:val="001C2AED"/>
    <w:rsid w:val="001C2DC3"/>
    <w:rsid w:val="001C5455"/>
    <w:rsid w:val="001C549A"/>
    <w:rsid w:val="001C584C"/>
    <w:rsid w:val="001C5A7B"/>
    <w:rsid w:val="001C6AE1"/>
    <w:rsid w:val="001D1AEA"/>
    <w:rsid w:val="001D3B75"/>
    <w:rsid w:val="001D7F04"/>
    <w:rsid w:val="001E0022"/>
    <w:rsid w:val="001E068E"/>
    <w:rsid w:val="001E1C89"/>
    <w:rsid w:val="001E3D76"/>
    <w:rsid w:val="001E4950"/>
    <w:rsid w:val="001E7FD6"/>
    <w:rsid w:val="001E7FF8"/>
    <w:rsid w:val="001F0239"/>
    <w:rsid w:val="001F076C"/>
    <w:rsid w:val="001F3CA5"/>
    <w:rsid w:val="001F4821"/>
    <w:rsid w:val="001F6AA8"/>
    <w:rsid w:val="002139AC"/>
    <w:rsid w:val="00214CE4"/>
    <w:rsid w:val="00217172"/>
    <w:rsid w:val="00220E7A"/>
    <w:rsid w:val="002261B9"/>
    <w:rsid w:val="002276E6"/>
    <w:rsid w:val="002301C1"/>
    <w:rsid w:val="00231CD7"/>
    <w:rsid w:val="002324E4"/>
    <w:rsid w:val="00233447"/>
    <w:rsid w:val="002334A8"/>
    <w:rsid w:val="00234D63"/>
    <w:rsid w:val="00240625"/>
    <w:rsid w:val="00243288"/>
    <w:rsid w:val="0024497F"/>
    <w:rsid w:val="002457C7"/>
    <w:rsid w:val="00246360"/>
    <w:rsid w:val="00250481"/>
    <w:rsid w:val="0025124A"/>
    <w:rsid w:val="002515C6"/>
    <w:rsid w:val="00251CD6"/>
    <w:rsid w:val="002536D2"/>
    <w:rsid w:val="0025638B"/>
    <w:rsid w:val="00260415"/>
    <w:rsid w:val="00261638"/>
    <w:rsid w:val="0026318E"/>
    <w:rsid w:val="0026374D"/>
    <w:rsid w:val="00265614"/>
    <w:rsid w:val="002704C4"/>
    <w:rsid w:val="00271484"/>
    <w:rsid w:val="0027381B"/>
    <w:rsid w:val="00273FDC"/>
    <w:rsid w:val="002747D8"/>
    <w:rsid w:val="0027565E"/>
    <w:rsid w:val="00275FB5"/>
    <w:rsid w:val="00277D72"/>
    <w:rsid w:val="00281386"/>
    <w:rsid w:val="00282C89"/>
    <w:rsid w:val="00286265"/>
    <w:rsid w:val="00287FAD"/>
    <w:rsid w:val="00290485"/>
    <w:rsid w:val="002910E5"/>
    <w:rsid w:val="00291236"/>
    <w:rsid w:val="0029271C"/>
    <w:rsid w:val="002965DC"/>
    <w:rsid w:val="00296878"/>
    <w:rsid w:val="002A2752"/>
    <w:rsid w:val="002A37AD"/>
    <w:rsid w:val="002A6D02"/>
    <w:rsid w:val="002A6F06"/>
    <w:rsid w:val="002A758F"/>
    <w:rsid w:val="002A7DDB"/>
    <w:rsid w:val="002B026E"/>
    <w:rsid w:val="002B03B0"/>
    <w:rsid w:val="002B1FC8"/>
    <w:rsid w:val="002B20FB"/>
    <w:rsid w:val="002C0213"/>
    <w:rsid w:val="002C052F"/>
    <w:rsid w:val="002C12E0"/>
    <w:rsid w:val="002C3663"/>
    <w:rsid w:val="002C3775"/>
    <w:rsid w:val="002C4959"/>
    <w:rsid w:val="002D0291"/>
    <w:rsid w:val="002D03D8"/>
    <w:rsid w:val="002D1C28"/>
    <w:rsid w:val="002D2AC3"/>
    <w:rsid w:val="002D6000"/>
    <w:rsid w:val="002E1863"/>
    <w:rsid w:val="002E191F"/>
    <w:rsid w:val="002E42D9"/>
    <w:rsid w:val="002E4581"/>
    <w:rsid w:val="002E5E41"/>
    <w:rsid w:val="002E6251"/>
    <w:rsid w:val="002F025F"/>
    <w:rsid w:val="002F4A2E"/>
    <w:rsid w:val="002F5AC8"/>
    <w:rsid w:val="002F61ED"/>
    <w:rsid w:val="003016F2"/>
    <w:rsid w:val="003048A1"/>
    <w:rsid w:val="003059EA"/>
    <w:rsid w:val="00305D0D"/>
    <w:rsid w:val="00306837"/>
    <w:rsid w:val="00314E24"/>
    <w:rsid w:val="00315F5E"/>
    <w:rsid w:val="0031603E"/>
    <w:rsid w:val="00316DCF"/>
    <w:rsid w:val="00321AEB"/>
    <w:rsid w:val="00321D8E"/>
    <w:rsid w:val="00322633"/>
    <w:rsid w:val="00332FB7"/>
    <w:rsid w:val="003336E3"/>
    <w:rsid w:val="00335DA8"/>
    <w:rsid w:val="003400EF"/>
    <w:rsid w:val="00340810"/>
    <w:rsid w:val="00342593"/>
    <w:rsid w:val="00343182"/>
    <w:rsid w:val="003431D3"/>
    <w:rsid w:val="003437A1"/>
    <w:rsid w:val="00351A86"/>
    <w:rsid w:val="00354ED3"/>
    <w:rsid w:val="00355A05"/>
    <w:rsid w:val="00356F99"/>
    <w:rsid w:val="003575D1"/>
    <w:rsid w:val="0036060B"/>
    <w:rsid w:val="003635D8"/>
    <w:rsid w:val="00364EFA"/>
    <w:rsid w:val="00367278"/>
    <w:rsid w:val="00367905"/>
    <w:rsid w:val="003725EA"/>
    <w:rsid w:val="00372F00"/>
    <w:rsid w:val="003739AA"/>
    <w:rsid w:val="00380A31"/>
    <w:rsid w:val="00381E59"/>
    <w:rsid w:val="00382804"/>
    <w:rsid w:val="003835CA"/>
    <w:rsid w:val="0038379B"/>
    <w:rsid w:val="00384AC5"/>
    <w:rsid w:val="00386BC0"/>
    <w:rsid w:val="00386E50"/>
    <w:rsid w:val="0038739E"/>
    <w:rsid w:val="00387F4C"/>
    <w:rsid w:val="00390051"/>
    <w:rsid w:val="00390D8D"/>
    <w:rsid w:val="00391933"/>
    <w:rsid w:val="00391F57"/>
    <w:rsid w:val="00392F35"/>
    <w:rsid w:val="00393CD6"/>
    <w:rsid w:val="003952AD"/>
    <w:rsid w:val="00395663"/>
    <w:rsid w:val="00395A26"/>
    <w:rsid w:val="00395CCE"/>
    <w:rsid w:val="003A09C2"/>
    <w:rsid w:val="003A2A50"/>
    <w:rsid w:val="003A421C"/>
    <w:rsid w:val="003A5064"/>
    <w:rsid w:val="003A6DB4"/>
    <w:rsid w:val="003B2BD1"/>
    <w:rsid w:val="003B2C3B"/>
    <w:rsid w:val="003B325B"/>
    <w:rsid w:val="003B7F0A"/>
    <w:rsid w:val="003C09E9"/>
    <w:rsid w:val="003C0EC2"/>
    <w:rsid w:val="003C238D"/>
    <w:rsid w:val="003C2E5D"/>
    <w:rsid w:val="003C37C2"/>
    <w:rsid w:val="003C41F5"/>
    <w:rsid w:val="003C47B4"/>
    <w:rsid w:val="003C4CD0"/>
    <w:rsid w:val="003C525E"/>
    <w:rsid w:val="003D1FD4"/>
    <w:rsid w:val="003D234B"/>
    <w:rsid w:val="003D407B"/>
    <w:rsid w:val="003D6112"/>
    <w:rsid w:val="003D6E99"/>
    <w:rsid w:val="003E1866"/>
    <w:rsid w:val="003E1E7C"/>
    <w:rsid w:val="003E38AE"/>
    <w:rsid w:val="003E4CD7"/>
    <w:rsid w:val="003E55E1"/>
    <w:rsid w:val="003E5B9A"/>
    <w:rsid w:val="003E686B"/>
    <w:rsid w:val="003E6A42"/>
    <w:rsid w:val="003F1323"/>
    <w:rsid w:val="003F14C0"/>
    <w:rsid w:val="003F1C8B"/>
    <w:rsid w:val="003F1D46"/>
    <w:rsid w:val="003F2355"/>
    <w:rsid w:val="003F54EF"/>
    <w:rsid w:val="003F7E5F"/>
    <w:rsid w:val="00405E3A"/>
    <w:rsid w:val="00406113"/>
    <w:rsid w:val="004072BC"/>
    <w:rsid w:val="00410D30"/>
    <w:rsid w:val="0041140F"/>
    <w:rsid w:val="00411539"/>
    <w:rsid w:val="004119A7"/>
    <w:rsid w:val="00415020"/>
    <w:rsid w:val="00415051"/>
    <w:rsid w:val="00417021"/>
    <w:rsid w:val="004170DD"/>
    <w:rsid w:val="00421775"/>
    <w:rsid w:val="00422658"/>
    <w:rsid w:val="00422993"/>
    <w:rsid w:val="00422DEB"/>
    <w:rsid w:val="00426AFA"/>
    <w:rsid w:val="00437C40"/>
    <w:rsid w:val="00440D96"/>
    <w:rsid w:val="00451783"/>
    <w:rsid w:val="0045335C"/>
    <w:rsid w:val="00455536"/>
    <w:rsid w:val="00455685"/>
    <w:rsid w:val="004611C5"/>
    <w:rsid w:val="004618CB"/>
    <w:rsid w:val="004619FD"/>
    <w:rsid w:val="00464537"/>
    <w:rsid w:val="004652DF"/>
    <w:rsid w:val="00465367"/>
    <w:rsid w:val="004653EF"/>
    <w:rsid w:val="00466781"/>
    <w:rsid w:val="0047176C"/>
    <w:rsid w:val="00472742"/>
    <w:rsid w:val="00472E32"/>
    <w:rsid w:val="00473AEE"/>
    <w:rsid w:val="00473C6F"/>
    <w:rsid w:val="00474A69"/>
    <w:rsid w:val="00474BFB"/>
    <w:rsid w:val="00475DF6"/>
    <w:rsid w:val="00476171"/>
    <w:rsid w:val="004774FC"/>
    <w:rsid w:val="0047789F"/>
    <w:rsid w:val="00477A66"/>
    <w:rsid w:val="004801A3"/>
    <w:rsid w:val="004807F9"/>
    <w:rsid w:val="00486655"/>
    <w:rsid w:val="00486AAF"/>
    <w:rsid w:val="004968E5"/>
    <w:rsid w:val="004A0145"/>
    <w:rsid w:val="004A1BE8"/>
    <w:rsid w:val="004A468B"/>
    <w:rsid w:val="004B0B6F"/>
    <w:rsid w:val="004B2DA7"/>
    <w:rsid w:val="004C08AF"/>
    <w:rsid w:val="004D1D29"/>
    <w:rsid w:val="004D2936"/>
    <w:rsid w:val="004D3B8A"/>
    <w:rsid w:val="004D40FC"/>
    <w:rsid w:val="004D4666"/>
    <w:rsid w:val="004D48CC"/>
    <w:rsid w:val="004D498D"/>
    <w:rsid w:val="004D7DD6"/>
    <w:rsid w:val="004E16C4"/>
    <w:rsid w:val="004E26DA"/>
    <w:rsid w:val="004E5848"/>
    <w:rsid w:val="004E701D"/>
    <w:rsid w:val="004E73C4"/>
    <w:rsid w:val="004F0020"/>
    <w:rsid w:val="004F3EC0"/>
    <w:rsid w:val="004F454B"/>
    <w:rsid w:val="004F53BC"/>
    <w:rsid w:val="00500C66"/>
    <w:rsid w:val="00500E1A"/>
    <w:rsid w:val="00500E52"/>
    <w:rsid w:val="0050104F"/>
    <w:rsid w:val="0050401C"/>
    <w:rsid w:val="005044A4"/>
    <w:rsid w:val="005077CD"/>
    <w:rsid w:val="005106C5"/>
    <w:rsid w:val="00510911"/>
    <w:rsid w:val="00510E98"/>
    <w:rsid w:val="0051222D"/>
    <w:rsid w:val="00512342"/>
    <w:rsid w:val="005136DD"/>
    <w:rsid w:val="00514118"/>
    <w:rsid w:val="0051607E"/>
    <w:rsid w:val="005202B5"/>
    <w:rsid w:val="00520A1B"/>
    <w:rsid w:val="00523194"/>
    <w:rsid w:val="00523F0C"/>
    <w:rsid w:val="0052551B"/>
    <w:rsid w:val="00526756"/>
    <w:rsid w:val="00530BC7"/>
    <w:rsid w:val="00531301"/>
    <w:rsid w:val="00533599"/>
    <w:rsid w:val="00540226"/>
    <w:rsid w:val="005514EB"/>
    <w:rsid w:val="00555DC7"/>
    <w:rsid w:val="00556060"/>
    <w:rsid w:val="00560413"/>
    <w:rsid w:val="00560659"/>
    <w:rsid w:val="00563A54"/>
    <w:rsid w:val="00570682"/>
    <w:rsid w:val="00570F0E"/>
    <w:rsid w:val="005734A3"/>
    <w:rsid w:val="0057398F"/>
    <w:rsid w:val="005755FE"/>
    <w:rsid w:val="005761BE"/>
    <w:rsid w:val="00577B7B"/>
    <w:rsid w:val="00580060"/>
    <w:rsid w:val="0058626B"/>
    <w:rsid w:val="005872A5"/>
    <w:rsid w:val="00590913"/>
    <w:rsid w:val="0059097D"/>
    <w:rsid w:val="005924B0"/>
    <w:rsid w:val="005954A7"/>
    <w:rsid w:val="00597D90"/>
    <w:rsid w:val="00597EED"/>
    <w:rsid w:val="005A05BA"/>
    <w:rsid w:val="005A0EA8"/>
    <w:rsid w:val="005A19EF"/>
    <w:rsid w:val="005A2D06"/>
    <w:rsid w:val="005A4BE0"/>
    <w:rsid w:val="005B03C4"/>
    <w:rsid w:val="005B11D9"/>
    <w:rsid w:val="005B40AF"/>
    <w:rsid w:val="005B511E"/>
    <w:rsid w:val="005B711C"/>
    <w:rsid w:val="005B7C32"/>
    <w:rsid w:val="005C07A1"/>
    <w:rsid w:val="005C0923"/>
    <w:rsid w:val="005C19A1"/>
    <w:rsid w:val="005C1F2C"/>
    <w:rsid w:val="005C3054"/>
    <w:rsid w:val="005C4BD2"/>
    <w:rsid w:val="005C69F2"/>
    <w:rsid w:val="005D1E1C"/>
    <w:rsid w:val="005D2345"/>
    <w:rsid w:val="005D5111"/>
    <w:rsid w:val="005D5F93"/>
    <w:rsid w:val="005D76C4"/>
    <w:rsid w:val="005D7FBF"/>
    <w:rsid w:val="005D7FE0"/>
    <w:rsid w:val="005E0922"/>
    <w:rsid w:val="005E6A9D"/>
    <w:rsid w:val="005F2435"/>
    <w:rsid w:val="005F2BCD"/>
    <w:rsid w:val="005F3439"/>
    <w:rsid w:val="005F4434"/>
    <w:rsid w:val="005F667B"/>
    <w:rsid w:val="0060073E"/>
    <w:rsid w:val="00601A39"/>
    <w:rsid w:val="00603C1E"/>
    <w:rsid w:val="00605D52"/>
    <w:rsid w:val="00610EFC"/>
    <w:rsid w:val="00611404"/>
    <w:rsid w:val="00612085"/>
    <w:rsid w:val="006125E0"/>
    <w:rsid w:val="00612DD2"/>
    <w:rsid w:val="00612FF2"/>
    <w:rsid w:val="006131CE"/>
    <w:rsid w:val="00613522"/>
    <w:rsid w:val="00613DEB"/>
    <w:rsid w:val="00615EE9"/>
    <w:rsid w:val="006164C6"/>
    <w:rsid w:val="006212B4"/>
    <w:rsid w:val="0062151C"/>
    <w:rsid w:val="006219B0"/>
    <w:rsid w:val="00622A00"/>
    <w:rsid w:val="00625A27"/>
    <w:rsid w:val="006313C4"/>
    <w:rsid w:val="006354D8"/>
    <w:rsid w:val="00636714"/>
    <w:rsid w:val="00637E90"/>
    <w:rsid w:val="006429D5"/>
    <w:rsid w:val="00647494"/>
    <w:rsid w:val="00647681"/>
    <w:rsid w:val="0065126D"/>
    <w:rsid w:val="0065359A"/>
    <w:rsid w:val="00653BF3"/>
    <w:rsid w:val="006560BB"/>
    <w:rsid w:val="0065697B"/>
    <w:rsid w:val="006602B1"/>
    <w:rsid w:val="00661F15"/>
    <w:rsid w:val="00662255"/>
    <w:rsid w:val="006628BB"/>
    <w:rsid w:val="006643A1"/>
    <w:rsid w:val="00664B64"/>
    <w:rsid w:val="00667574"/>
    <w:rsid w:val="00673A47"/>
    <w:rsid w:val="006766D0"/>
    <w:rsid w:val="00680031"/>
    <w:rsid w:val="00680F66"/>
    <w:rsid w:val="006815CF"/>
    <w:rsid w:val="006817C8"/>
    <w:rsid w:val="0068454D"/>
    <w:rsid w:val="00684D85"/>
    <w:rsid w:val="00684F76"/>
    <w:rsid w:val="006859F2"/>
    <w:rsid w:val="0069544D"/>
    <w:rsid w:val="00696BA6"/>
    <w:rsid w:val="00696DA4"/>
    <w:rsid w:val="00696F62"/>
    <w:rsid w:val="006A0DB9"/>
    <w:rsid w:val="006A5AB5"/>
    <w:rsid w:val="006A7575"/>
    <w:rsid w:val="006A7EC3"/>
    <w:rsid w:val="006B24C6"/>
    <w:rsid w:val="006B33EA"/>
    <w:rsid w:val="006C0EF1"/>
    <w:rsid w:val="006C1721"/>
    <w:rsid w:val="006C22C6"/>
    <w:rsid w:val="006C33E5"/>
    <w:rsid w:val="006C4EF1"/>
    <w:rsid w:val="006C6265"/>
    <w:rsid w:val="006C6A65"/>
    <w:rsid w:val="006D0CE1"/>
    <w:rsid w:val="006D2D54"/>
    <w:rsid w:val="006D5A48"/>
    <w:rsid w:val="006D5BAE"/>
    <w:rsid w:val="006D670B"/>
    <w:rsid w:val="006E137D"/>
    <w:rsid w:val="006E355B"/>
    <w:rsid w:val="006E48F6"/>
    <w:rsid w:val="006E579F"/>
    <w:rsid w:val="006E73A1"/>
    <w:rsid w:val="006F3AA1"/>
    <w:rsid w:val="006F47FD"/>
    <w:rsid w:val="006F5FDF"/>
    <w:rsid w:val="007025D9"/>
    <w:rsid w:val="00703FBB"/>
    <w:rsid w:val="00705D68"/>
    <w:rsid w:val="00706415"/>
    <w:rsid w:val="00712C96"/>
    <w:rsid w:val="00715FD0"/>
    <w:rsid w:val="00717223"/>
    <w:rsid w:val="00722A1B"/>
    <w:rsid w:val="00723A48"/>
    <w:rsid w:val="00724240"/>
    <w:rsid w:val="00725C57"/>
    <w:rsid w:val="00726BEF"/>
    <w:rsid w:val="007315F5"/>
    <w:rsid w:val="00734181"/>
    <w:rsid w:val="007347A2"/>
    <w:rsid w:val="00735DC6"/>
    <w:rsid w:val="00735E7D"/>
    <w:rsid w:val="00740AD5"/>
    <w:rsid w:val="00741B14"/>
    <w:rsid w:val="00742A32"/>
    <w:rsid w:val="0075551F"/>
    <w:rsid w:val="0075621B"/>
    <w:rsid w:val="007577AE"/>
    <w:rsid w:val="00760968"/>
    <w:rsid w:val="007616F6"/>
    <w:rsid w:val="00761A80"/>
    <w:rsid w:val="00762EFD"/>
    <w:rsid w:val="00764AFB"/>
    <w:rsid w:val="00765BCB"/>
    <w:rsid w:val="00767C23"/>
    <w:rsid w:val="00770FBB"/>
    <w:rsid w:val="00771B45"/>
    <w:rsid w:val="007728E8"/>
    <w:rsid w:val="00776EAF"/>
    <w:rsid w:val="00777364"/>
    <w:rsid w:val="00780C4A"/>
    <w:rsid w:val="00780E7A"/>
    <w:rsid w:val="00782755"/>
    <w:rsid w:val="00782B86"/>
    <w:rsid w:val="00783B9F"/>
    <w:rsid w:val="00784FF3"/>
    <w:rsid w:val="007851DB"/>
    <w:rsid w:val="007853FB"/>
    <w:rsid w:val="007A0D03"/>
    <w:rsid w:val="007A7EE2"/>
    <w:rsid w:val="007B0DA0"/>
    <w:rsid w:val="007B44F1"/>
    <w:rsid w:val="007B54A0"/>
    <w:rsid w:val="007B5EDD"/>
    <w:rsid w:val="007C1D0B"/>
    <w:rsid w:val="007D02AF"/>
    <w:rsid w:val="007D42C4"/>
    <w:rsid w:val="007D5B85"/>
    <w:rsid w:val="007D67DD"/>
    <w:rsid w:val="007D6FE6"/>
    <w:rsid w:val="007D7FCD"/>
    <w:rsid w:val="007E0385"/>
    <w:rsid w:val="007E03C5"/>
    <w:rsid w:val="007E1218"/>
    <w:rsid w:val="007F34FB"/>
    <w:rsid w:val="007F3803"/>
    <w:rsid w:val="007F5C11"/>
    <w:rsid w:val="007F7F4E"/>
    <w:rsid w:val="007F7FD3"/>
    <w:rsid w:val="0080059D"/>
    <w:rsid w:val="008009A0"/>
    <w:rsid w:val="00800F96"/>
    <w:rsid w:val="00810E12"/>
    <w:rsid w:val="00811985"/>
    <w:rsid w:val="00815B83"/>
    <w:rsid w:val="00815FF5"/>
    <w:rsid w:val="00816F54"/>
    <w:rsid w:val="00817161"/>
    <w:rsid w:val="00822454"/>
    <w:rsid w:val="00823821"/>
    <w:rsid w:val="00825015"/>
    <w:rsid w:val="00825547"/>
    <w:rsid w:val="008274DC"/>
    <w:rsid w:val="00830BE8"/>
    <w:rsid w:val="008316B5"/>
    <w:rsid w:val="00833D5B"/>
    <w:rsid w:val="0083441D"/>
    <w:rsid w:val="00835230"/>
    <w:rsid w:val="00840E3B"/>
    <w:rsid w:val="008413B5"/>
    <w:rsid w:val="0084253B"/>
    <w:rsid w:val="008435F1"/>
    <w:rsid w:val="008447AC"/>
    <w:rsid w:val="00845F72"/>
    <w:rsid w:val="0084678F"/>
    <w:rsid w:val="008472B9"/>
    <w:rsid w:val="008472D4"/>
    <w:rsid w:val="00851B93"/>
    <w:rsid w:val="0085323A"/>
    <w:rsid w:val="00856377"/>
    <w:rsid w:val="00856F48"/>
    <w:rsid w:val="008578C8"/>
    <w:rsid w:val="0086047A"/>
    <w:rsid w:val="00860CE4"/>
    <w:rsid w:val="00866D02"/>
    <w:rsid w:val="00867473"/>
    <w:rsid w:val="00867ED2"/>
    <w:rsid w:val="00867F3C"/>
    <w:rsid w:val="00872CF6"/>
    <w:rsid w:val="008747D1"/>
    <w:rsid w:val="008752FB"/>
    <w:rsid w:val="0088046A"/>
    <w:rsid w:val="00880E15"/>
    <w:rsid w:val="00881A0C"/>
    <w:rsid w:val="00882DFB"/>
    <w:rsid w:val="008865AA"/>
    <w:rsid w:val="008872A3"/>
    <w:rsid w:val="008879FE"/>
    <w:rsid w:val="00893377"/>
    <w:rsid w:val="008962A6"/>
    <w:rsid w:val="008968E3"/>
    <w:rsid w:val="0089724D"/>
    <w:rsid w:val="008A1084"/>
    <w:rsid w:val="008A1A69"/>
    <w:rsid w:val="008A1B76"/>
    <w:rsid w:val="008A30D2"/>
    <w:rsid w:val="008A4AC4"/>
    <w:rsid w:val="008A62CB"/>
    <w:rsid w:val="008B0F44"/>
    <w:rsid w:val="008B4517"/>
    <w:rsid w:val="008B5486"/>
    <w:rsid w:val="008B6A65"/>
    <w:rsid w:val="008C072C"/>
    <w:rsid w:val="008C11CF"/>
    <w:rsid w:val="008C14E3"/>
    <w:rsid w:val="008C47ED"/>
    <w:rsid w:val="008C7E23"/>
    <w:rsid w:val="008D1D22"/>
    <w:rsid w:val="008D31C9"/>
    <w:rsid w:val="008D3D6D"/>
    <w:rsid w:val="008D74E7"/>
    <w:rsid w:val="008D7E2E"/>
    <w:rsid w:val="008E3741"/>
    <w:rsid w:val="008E45D0"/>
    <w:rsid w:val="008E48E6"/>
    <w:rsid w:val="008E4B7B"/>
    <w:rsid w:val="008E7DBC"/>
    <w:rsid w:val="008F2B60"/>
    <w:rsid w:val="008F3123"/>
    <w:rsid w:val="008F3E11"/>
    <w:rsid w:val="008F5F32"/>
    <w:rsid w:val="008F7319"/>
    <w:rsid w:val="008F77CE"/>
    <w:rsid w:val="009023D8"/>
    <w:rsid w:val="00903E64"/>
    <w:rsid w:val="00904555"/>
    <w:rsid w:val="009063E0"/>
    <w:rsid w:val="0090687F"/>
    <w:rsid w:val="009077AF"/>
    <w:rsid w:val="00912C62"/>
    <w:rsid w:val="009133E8"/>
    <w:rsid w:val="0091404A"/>
    <w:rsid w:val="0091512D"/>
    <w:rsid w:val="009160FE"/>
    <w:rsid w:val="009161EF"/>
    <w:rsid w:val="00916895"/>
    <w:rsid w:val="00923D14"/>
    <w:rsid w:val="00924765"/>
    <w:rsid w:val="009254E5"/>
    <w:rsid w:val="00925607"/>
    <w:rsid w:val="00925DF7"/>
    <w:rsid w:val="009333DA"/>
    <w:rsid w:val="009350DC"/>
    <w:rsid w:val="00936B35"/>
    <w:rsid w:val="009373C4"/>
    <w:rsid w:val="00942556"/>
    <w:rsid w:val="009432C4"/>
    <w:rsid w:val="00945F09"/>
    <w:rsid w:val="009559E7"/>
    <w:rsid w:val="00956CBC"/>
    <w:rsid w:val="00964DF5"/>
    <w:rsid w:val="00965826"/>
    <w:rsid w:val="00967247"/>
    <w:rsid w:val="00971012"/>
    <w:rsid w:val="00972591"/>
    <w:rsid w:val="00974144"/>
    <w:rsid w:val="00974BEE"/>
    <w:rsid w:val="009834FF"/>
    <w:rsid w:val="00985306"/>
    <w:rsid w:val="00986912"/>
    <w:rsid w:val="009879C1"/>
    <w:rsid w:val="0099250A"/>
    <w:rsid w:val="00994770"/>
    <w:rsid w:val="00994C60"/>
    <w:rsid w:val="009975A1"/>
    <w:rsid w:val="009A0710"/>
    <w:rsid w:val="009A07E7"/>
    <w:rsid w:val="009A3362"/>
    <w:rsid w:val="009A6057"/>
    <w:rsid w:val="009A62F1"/>
    <w:rsid w:val="009B71C8"/>
    <w:rsid w:val="009C132D"/>
    <w:rsid w:val="009C3E8C"/>
    <w:rsid w:val="009C42F3"/>
    <w:rsid w:val="009C4A97"/>
    <w:rsid w:val="009C5AEE"/>
    <w:rsid w:val="009D0C41"/>
    <w:rsid w:val="009D2E8C"/>
    <w:rsid w:val="009D3C99"/>
    <w:rsid w:val="009D5E72"/>
    <w:rsid w:val="009D75C9"/>
    <w:rsid w:val="009D7F6E"/>
    <w:rsid w:val="009E0772"/>
    <w:rsid w:val="009E0959"/>
    <w:rsid w:val="009E1115"/>
    <w:rsid w:val="009E76C0"/>
    <w:rsid w:val="009E78D1"/>
    <w:rsid w:val="009F3EBF"/>
    <w:rsid w:val="009F4E6D"/>
    <w:rsid w:val="009F5F9B"/>
    <w:rsid w:val="009F658D"/>
    <w:rsid w:val="00A02780"/>
    <w:rsid w:val="00A07319"/>
    <w:rsid w:val="00A1071C"/>
    <w:rsid w:val="00A130E5"/>
    <w:rsid w:val="00A1CACA"/>
    <w:rsid w:val="00A21AA0"/>
    <w:rsid w:val="00A2203B"/>
    <w:rsid w:val="00A222B7"/>
    <w:rsid w:val="00A22FA8"/>
    <w:rsid w:val="00A244C9"/>
    <w:rsid w:val="00A329A7"/>
    <w:rsid w:val="00A3620A"/>
    <w:rsid w:val="00A4128A"/>
    <w:rsid w:val="00A41DF2"/>
    <w:rsid w:val="00A425A5"/>
    <w:rsid w:val="00A42DEB"/>
    <w:rsid w:val="00A42EE5"/>
    <w:rsid w:val="00A4391F"/>
    <w:rsid w:val="00A44767"/>
    <w:rsid w:val="00A4669F"/>
    <w:rsid w:val="00A52FE6"/>
    <w:rsid w:val="00A53D98"/>
    <w:rsid w:val="00A55EA5"/>
    <w:rsid w:val="00A56731"/>
    <w:rsid w:val="00A57266"/>
    <w:rsid w:val="00A61057"/>
    <w:rsid w:val="00A61D00"/>
    <w:rsid w:val="00A62168"/>
    <w:rsid w:val="00A63392"/>
    <w:rsid w:val="00A6535B"/>
    <w:rsid w:val="00A67190"/>
    <w:rsid w:val="00A67CAA"/>
    <w:rsid w:val="00A72237"/>
    <w:rsid w:val="00A726B1"/>
    <w:rsid w:val="00A740CC"/>
    <w:rsid w:val="00A76CE5"/>
    <w:rsid w:val="00A804FD"/>
    <w:rsid w:val="00A82211"/>
    <w:rsid w:val="00A825E8"/>
    <w:rsid w:val="00A931B8"/>
    <w:rsid w:val="00A93F3D"/>
    <w:rsid w:val="00A94344"/>
    <w:rsid w:val="00A9449D"/>
    <w:rsid w:val="00A960A3"/>
    <w:rsid w:val="00A97033"/>
    <w:rsid w:val="00A97B29"/>
    <w:rsid w:val="00A97C33"/>
    <w:rsid w:val="00AA0830"/>
    <w:rsid w:val="00AA16C7"/>
    <w:rsid w:val="00AA24FB"/>
    <w:rsid w:val="00AA7EBB"/>
    <w:rsid w:val="00AB34B5"/>
    <w:rsid w:val="00AB5DCB"/>
    <w:rsid w:val="00AC2240"/>
    <w:rsid w:val="00AC690C"/>
    <w:rsid w:val="00AD18FC"/>
    <w:rsid w:val="00AD2430"/>
    <w:rsid w:val="00AD2769"/>
    <w:rsid w:val="00AD2D1E"/>
    <w:rsid w:val="00AD32BA"/>
    <w:rsid w:val="00AD3A3A"/>
    <w:rsid w:val="00AD6ABE"/>
    <w:rsid w:val="00AD7411"/>
    <w:rsid w:val="00AE13B9"/>
    <w:rsid w:val="00AE18A3"/>
    <w:rsid w:val="00AE1AD9"/>
    <w:rsid w:val="00AE346D"/>
    <w:rsid w:val="00AE414A"/>
    <w:rsid w:val="00AE4547"/>
    <w:rsid w:val="00AE4CF5"/>
    <w:rsid w:val="00AE6A24"/>
    <w:rsid w:val="00AF17AE"/>
    <w:rsid w:val="00AF63E3"/>
    <w:rsid w:val="00B044A7"/>
    <w:rsid w:val="00B06B54"/>
    <w:rsid w:val="00B07087"/>
    <w:rsid w:val="00B1325B"/>
    <w:rsid w:val="00B13C46"/>
    <w:rsid w:val="00B13EA0"/>
    <w:rsid w:val="00B1685C"/>
    <w:rsid w:val="00B16AC4"/>
    <w:rsid w:val="00B16B0E"/>
    <w:rsid w:val="00B20BC5"/>
    <w:rsid w:val="00B26EC8"/>
    <w:rsid w:val="00B30084"/>
    <w:rsid w:val="00B30BB4"/>
    <w:rsid w:val="00B31C0C"/>
    <w:rsid w:val="00B3201F"/>
    <w:rsid w:val="00B32959"/>
    <w:rsid w:val="00B332AC"/>
    <w:rsid w:val="00B36A44"/>
    <w:rsid w:val="00B43794"/>
    <w:rsid w:val="00B46170"/>
    <w:rsid w:val="00B479FD"/>
    <w:rsid w:val="00B542F0"/>
    <w:rsid w:val="00B5525C"/>
    <w:rsid w:val="00B55889"/>
    <w:rsid w:val="00B65220"/>
    <w:rsid w:val="00B65274"/>
    <w:rsid w:val="00B65362"/>
    <w:rsid w:val="00B657EB"/>
    <w:rsid w:val="00B66F3B"/>
    <w:rsid w:val="00B670B9"/>
    <w:rsid w:val="00B67AA0"/>
    <w:rsid w:val="00B70B44"/>
    <w:rsid w:val="00B7150B"/>
    <w:rsid w:val="00B776EF"/>
    <w:rsid w:val="00B83A76"/>
    <w:rsid w:val="00B8492D"/>
    <w:rsid w:val="00B84E13"/>
    <w:rsid w:val="00B85CBB"/>
    <w:rsid w:val="00B92BE0"/>
    <w:rsid w:val="00B94E60"/>
    <w:rsid w:val="00B96B20"/>
    <w:rsid w:val="00BA03BA"/>
    <w:rsid w:val="00BA0E11"/>
    <w:rsid w:val="00BA12AA"/>
    <w:rsid w:val="00BA147C"/>
    <w:rsid w:val="00BA1900"/>
    <w:rsid w:val="00BA1D4D"/>
    <w:rsid w:val="00BA312C"/>
    <w:rsid w:val="00BB7401"/>
    <w:rsid w:val="00BC074F"/>
    <w:rsid w:val="00BC1A3B"/>
    <w:rsid w:val="00BC4253"/>
    <w:rsid w:val="00BC47D7"/>
    <w:rsid w:val="00BC58E5"/>
    <w:rsid w:val="00BC5BCE"/>
    <w:rsid w:val="00BC748C"/>
    <w:rsid w:val="00BD3394"/>
    <w:rsid w:val="00BD36F8"/>
    <w:rsid w:val="00BD715C"/>
    <w:rsid w:val="00BE0DD1"/>
    <w:rsid w:val="00BE0FE5"/>
    <w:rsid w:val="00BE60E3"/>
    <w:rsid w:val="00BE73B2"/>
    <w:rsid w:val="00BF0DD0"/>
    <w:rsid w:val="00BF32B5"/>
    <w:rsid w:val="00BF352E"/>
    <w:rsid w:val="00BF7313"/>
    <w:rsid w:val="00BF7403"/>
    <w:rsid w:val="00C00FE3"/>
    <w:rsid w:val="00C028BD"/>
    <w:rsid w:val="00C05987"/>
    <w:rsid w:val="00C072AB"/>
    <w:rsid w:val="00C07551"/>
    <w:rsid w:val="00C07D07"/>
    <w:rsid w:val="00C11430"/>
    <w:rsid w:val="00C133E6"/>
    <w:rsid w:val="00C21771"/>
    <w:rsid w:val="00C21A6D"/>
    <w:rsid w:val="00C22B79"/>
    <w:rsid w:val="00C23396"/>
    <w:rsid w:val="00C24900"/>
    <w:rsid w:val="00C25404"/>
    <w:rsid w:val="00C2749E"/>
    <w:rsid w:val="00C31FA5"/>
    <w:rsid w:val="00C33557"/>
    <w:rsid w:val="00C33AB4"/>
    <w:rsid w:val="00C36AAE"/>
    <w:rsid w:val="00C36C03"/>
    <w:rsid w:val="00C42CF7"/>
    <w:rsid w:val="00C43303"/>
    <w:rsid w:val="00C43411"/>
    <w:rsid w:val="00C441FB"/>
    <w:rsid w:val="00C44528"/>
    <w:rsid w:val="00C44616"/>
    <w:rsid w:val="00C44F4F"/>
    <w:rsid w:val="00C515A0"/>
    <w:rsid w:val="00C528E3"/>
    <w:rsid w:val="00C5319D"/>
    <w:rsid w:val="00C53B54"/>
    <w:rsid w:val="00C54990"/>
    <w:rsid w:val="00C54C0F"/>
    <w:rsid w:val="00C54F2C"/>
    <w:rsid w:val="00C57191"/>
    <w:rsid w:val="00C67336"/>
    <w:rsid w:val="00C70019"/>
    <w:rsid w:val="00C70ABA"/>
    <w:rsid w:val="00C7161D"/>
    <w:rsid w:val="00C71CF8"/>
    <w:rsid w:val="00C74DFE"/>
    <w:rsid w:val="00C75523"/>
    <w:rsid w:val="00C76189"/>
    <w:rsid w:val="00C768DE"/>
    <w:rsid w:val="00C80FE1"/>
    <w:rsid w:val="00C816D3"/>
    <w:rsid w:val="00C85581"/>
    <w:rsid w:val="00C863B3"/>
    <w:rsid w:val="00C9047D"/>
    <w:rsid w:val="00C92297"/>
    <w:rsid w:val="00C92FDE"/>
    <w:rsid w:val="00C94D27"/>
    <w:rsid w:val="00CA01AC"/>
    <w:rsid w:val="00CA28FF"/>
    <w:rsid w:val="00CA29E5"/>
    <w:rsid w:val="00CA5E8F"/>
    <w:rsid w:val="00CA6851"/>
    <w:rsid w:val="00CA6FFF"/>
    <w:rsid w:val="00CB4DB2"/>
    <w:rsid w:val="00CB7BEB"/>
    <w:rsid w:val="00CC0953"/>
    <w:rsid w:val="00CC2D50"/>
    <w:rsid w:val="00CD095F"/>
    <w:rsid w:val="00CD1D8F"/>
    <w:rsid w:val="00CD2960"/>
    <w:rsid w:val="00CD42FD"/>
    <w:rsid w:val="00CD55A1"/>
    <w:rsid w:val="00CE0C6C"/>
    <w:rsid w:val="00CE313E"/>
    <w:rsid w:val="00CE5786"/>
    <w:rsid w:val="00CF093E"/>
    <w:rsid w:val="00CF0C2C"/>
    <w:rsid w:val="00CF4938"/>
    <w:rsid w:val="00CF525C"/>
    <w:rsid w:val="00CF5CF9"/>
    <w:rsid w:val="00CF61E4"/>
    <w:rsid w:val="00D010A1"/>
    <w:rsid w:val="00D04634"/>
    <w:rsid w:val="00D06E4E"/>
    <w:rsid w:val="00D109F5"/>
    <w:rsid w:val="00D11C4B"/>
    <w:rsid w:val="00D12235"/>
    <w:rsid w:val="00D12331"/>
    <w:rsid w:val="00D12348"/>
    <w:rsid w:val="00D13E1B"/>
    <w:rsid w:val="00D15668"/>
    <w:rsid w:val="00D2132F"/>
    <w:rsid w:val="00D217FA"/>
    <w:rsid w:val="00D2182E"/>
    <w:rsid w:val="00D24F22"/>
    <w:rsid w:val="00D26492"/>
    <w:rsid w:val="00D2666C"/>
    <w:rsid w:val="00D315C0"/>
    <w:rsid w:val="00D31A08"/>
    <w:rsid w:val="00D37AE9"/>
    <w:rsid w:val="00D402A3"/>
    <w:rsid w:val="00D4163B"/>
    <w:rsid w:val="00D441E0"/>
    <w:rsid w:val="00D46079"/>
    <w:rsid w:val="00D46865"/>
    <w:rsid w:val="00D52611"/>
    <w:rsid w:val="00D54874"/>
    <w:rsid w:val="00D62D15"/>
    <w:rsid w:val="00D6412C"/>
    <w:rsid w:val="00D711B3"/>
    <w:rsid w:val="00D74D46"/>
    <w:rsid w:val="00D7575F"/>
    <w:rsid w:val="00D75CBD"/>
    <w:rsid w:val="00D829EC"/>
    <w:rsid w:val="00D843D0"/>
    <w:rsid w:val="00D8481A"/>
    <w:rsid w:val="00D8649F"/>
    <w:rsid w:val="00D90697"/>
    <w:rsid w:val="00D911B5"/>
    <w:rsid w:val="00D92E7C"/>
    <w:rsid w:val="00DA00BF"/>
    <w:rsid w:val="00DA1FAF"/>
    <w:rsid w:val="00DA2BB4"/>
    <w:rsid w:val="00DA5486"/>
    <w:rsid w:val="00DB095F"/>
    <w:rsid w:val="00DB1CED"/>
    <w:rsid w:val="00DB2209"/>
    <w:rsid w:val="00DB2265"/>
    <w:rsid w:val="00DB26AB"/>
    <w:rsid w:val="00DB57FB"/>
    <w:rsid w:val="00DB6A2E"/>
    <w:rsid w:val="00DB77B7"/>
    <w:rsid w:val="00DC1554"/>
    <w:rsid w:val="00DC47E1"/>
    <w:rsid w:val="00DC4F94"/>
    <w:rsid w:val="00DC5131"/>
    <w:rsid w:val="00DD0DCC"/>
    <w:rsid w:val="00DD222B"/>
    <w:rsid w:val="00DD729A"/>
    <w:rsid w:val="00DE2F4E"/>
    <w:rsid w:val="00DE6601"/>
    <w:rsid w:val="00DE70EF"/>
    <w:rsid w:val="00DE7612"/>
    <w:rsid w:val="00DF01D1"/>
    <w:rsid w:val="00DF3391"/>
    <w:rsid w:val="00DF4DEC"/>
    <w:rsid w:val="00DF5BF3"/>
    <w:rsid w:val="00E0059E"/>
    <w:rsid w:val="00E00E3B"/>
    <w:rsid w:val="00E02B6F"/>
    <w:rsid w:val="00E10F36"/>
    <w:rsid w:val="00E11E37"/>
    <w:rsid w:val="00E13506"/>
    <w:rsid w:val="00E16250"/>
    <w:rsid w:val="00E168D0"/>
    <w:rsid w:val="00E17546"/>
    <w:rsid w:val="00E2029D"/>
    <w:rsid w:val="00E27C8A"/>
    <w:rsid w:val="00E27E24"/>
    <w:rsid w:val="00E32507"/>
    <w:rsid w:val="00E33164"/>
    <w:rsid w:val="00E34AA6"/>
    <w:rsid w:val="00E37C47"/>
    <w:rsid w:val="00E4234C"/>
    <w:rsid w:val="00E43753"/>
    <w:rsid w:val="00E445B6"/>
    <w:rsid w:val="00E44B3D"/>
    <w:rsid w:val="00E45A6A"/>
    <w:rsid w:val="00E46C3A"/>
    <w:rsid w:val="00E47223"/>
    <w:rsid w:val="00E474B1"/>
    <w:rsid w:val="00E47A59"/>
    <w:rsid w:val="00E5490D"/>
    <w:rsid w:val="00E55506"/>
    <w:rsid w:val="00E5636E"/>
    <w:rsid w:val="00E62183"/>
    <w:rsid w:val="00E65722"/>
    <w:rsid w:val="00E66757"/>
    <w:rsid w:val="00E71053"/>
    <w:rsid w:val="00E7180D"/>
    <w:rsid w:val="00E71EF9"/>
    <w:rsid w:val="00E7304F"/>
    <w:rsid w:val="00E73074"/>
    <w:rsid w:val="00E745F0"/>
    <w:rsid w:val="00E82DBC"/>
    <w:rsid w:val="00E856B0"/>
    <w:rsid w:val="00E8608B"/>
    <w:rsid w:val="00E929DE"/>
    <w:rsid w:val="00E937AE"/>
    <w:rsid w:val="00E938DC"/>
    <w:rsid w:val="00E945A6"/>
    <w:rsid w:val="00E94B91"/>
    <w:rsid w:val="00E95537"/>
    <w:rsid w:val="00E962D6"/>
    <w:rsid w:val="00E970F8"/>
    <w:rsid w:val="00E97FB4"/>
    <w:rsid w:val="00EA08FA"/>
    <w:rsid w:val="00EA30B2"/>
    <w:rsid w:val="00EA4005"/>
    <w:rsid w:val="00EB18A1"/>
    <w:rsid w:val="00EB2E73"/>
    <w:rsid w:val="00EB42A9"/>
    <w:rsid w:val="00EB5562"/>
    <w:rsid w:val="00EB7909"/>
    <w:rsid w:val="00EC573D"/>
    <w:rsid w:val="00EC75C8"/>
    <w:rsid w:val="00ED0781"/>
    <w:rsid w:val="00ED271C"/>
    <w:rsid w:val="00ED4C8A"/>
    <w:rsid w:val="00ED7B61"/>
    <w:rsid w:val="00EE01A8"/>
    <w:rsid w:val="00EE0282"/>
    <w:rsid w:val="00EE4C0F"/>
    <w:rsid w:val="00EE5354"/>
    <w:rsid w:val="00EF014E"/>
    <w:rsid w:val="00EF12E4"/>
    <w:rsid w:val="00EF2411"/>
    <w:rsid w:val="00EF2613"/>
    <w:rsid w:val="00EF4C75"/>
    <w:rsid w:val="00F064F3"/>
    <w:rsid w:val="00F07C46"/>
    <w:rsid w:val="00F07D87"/>
    <w:rsid w:val="00F07F77"/>
    <w:rsid w:val="00F141B3"/>
    <w:rsid w:val="00F14E50"/>
    <w:rsid w:val="00F169FC"/>
    <w:rsid w:val="00F217D1"/>
    <w:rsid w:val="00F21BD6"/>
    <w:rsid w:val="00F220FA"/>
    <w:rsid w:val="00F2486F"/>
    <w:rsid w:val="00F25019"/>
    <w:rsid w:val="00F25672"/>
    <w:rsid w:val="00F3012C"/>
    <w:rsid w:val="00F30693"/>
    <w:rsid w:val="00F33F0F"/>
    <w:rsid w:val="00F42D8F"/>
    <w:rsid w:val="00F46BE0"/>
    <w:rsid w:val="00F4789B"/>
    <w:rsid w:val="00F53B17"/>
    <w:rsid w:val="00F553D2"/>
    <w:rsid w:val="00F55BD4"/>
    <w:rsid w:val="00F565C3"/>
    <w:rsid w:val="00F56724"/>
    <w:rsid w:val="00F570BA"/>
    <w:rsid w:val="00F602D5"/>
    <w:rsid w:val="00F60BB3"/>
    <w:rsid w:val="00F61998"/>
    <w:rsid w:val="00F62449"/>
    <w:rsid w:val="00F62C3D"/>
    <w:rsid w:val="00F647E3"/>
    <w:rsid w:val="00F658C8"/>
    <w:rsid w:val="00F71129"/>
    <w:rsid w:val="00F73187"/>
    <w:rsid w:val="00F74336"/>
    <w:rsid w:val="00F7441C"/>
    <w:rsid w:val="00F7464E"/>
    <w:rsid w:val="00F74F40"/>
    <w:rsid w:val="00F808C2"/>
    <w:rsid w:val="00F82086"/>
    <w:rsid w:val="00F85C5B"/>
    <w:rsid w:val="00F866A6"/>
    <w:rsid w:val="00F86855"/>
    <w:rsid w:val="00F9086D"/>
    <w:rsid w:val="00F918AA"/>
    <w:rsid w:val="00F91FF3"/>
    <w:rsid w:val="00F93181"/>
    <w:rsid w:val="00F94C51"/>
    <w:rsid w:val="00F95B28"/>
    <w:rsid w:val="00F96BA2"/>
    <w:rsid w:val="00FA13E6"/>
    <w:rsid w:val="00FA3E3F"/>
    <w:rsid w:val="00FA4133"/>
    <w:rsid w:val="00FA41F0"/>
    <w:rsid w:val="00FA45C8"/>
    <w:rsid w:val="00FA4948"/>
    <w:rsid w:val="00FA5909"/>
    <w:rsid w:val="00FA7528"/>
    <w:rsid w:val="00FA7CDB"/>
    <w:rsid w:val="00FB1652"/>
    <w:rsid w:val="00FB1CC1"/>
    <w:rsid w:val="00FB1F37"/>
    <w:rsid w:val="00FB33C9"/>
    <w:rsid w:val="00FB508B"/>
    <w:rsid w:val="00FB67E4"/>
    <w:rsid w:val="00FB6F5F"/>
    <w:rsid w:val="00FB7CF2"/>
    <w:rsid w:val="00FC0FB4"/>
    <w:rsid w:val="00FC4720"/>
    <w:rsid w:val="00FC54D3"/>
    <w:rsid w:val="00FC61FB"/>
    <w:rsid w:val="00FD09D0"/>
    <w:rsid w:val="00FD11C2"/>
    <w:rsid w:val="00FD29D4"/>
    <w:rsid w:val="00FD6336"/>
    <w:rsid w:val="00FD6F04"/>
    <w:rsid w:val="00FE3C37"/>
    <w:rsid w:val="00FE53C0"/>
    <w:rsid w:val="00FE6E89"/>
    <w:rsid w:val="00FF0A26"/>
    <w:rsid w:val="00FF1212"/>
    <w:rsid w:val="00FF58CC"/>
    <w:rsid w:val="00FF7641"/>
    <w:rsid w:val="0786D8A1"/>
    <w:rsid w:val="0CA08572"/>
    <w:rsid w:val="156F4EA2"/>
    <w:rsid w:val="2253317E"/>
    <w:rsid w:val="231EEE22"/>
    <w:rsid w:val="25D24813"/>
    <w:rsid w:val="2A80B1E3"/>
    <w:rsid w:val="3C9762E5"/>
    <w:rsid w:val="44F4B777"/>
    <w:rsid w:val="54BA56D3"/>
    <w:rsid w:val="60DA601C"/>
    <w:rsid w:val="7807549C"/>
    <w:rsid w:val="7C8E46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14:docId w14:val="2A3DF54D"/>
  <w15:chartTrackingRefBased/>
  <w15:docId w15:val="{C1E62089-D4DE-4D5E-A660-EBC597BE5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7F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US"/>
    </w:rPr>
  </w:style>
  <w:style w:type="paragraph" w:styleId="Heading1">
    <w:name w:val="heading 1"/>
    <w:aliases w:val="H1,h1,Heading 1 3GPP"/>
    <w:basedOn w:val="Header"/>
    <w:next w:val="Normal"/>
    <w:link w:val="Heading1Char"/>
    <w:autoRedefine/>
    <w:qFormat/>
    <w:rsid w:val="00017FC6"/>
    <w:pPr>
      <w:keepNext/>
      <w:keepLines/>
      <w:widowControl w:val="0"/>
      <w:numPr>
        <w:numId w:val="2"/>
      </w:numPr>
      <w:pBdr>
        <w:top w:val="single" w:sz="12" w:space="3" w:color="auto"/>
      </w:pBdr>
      <w:tabs>
        <w:tab w:val="clear" w:pos="4680"/>
        <w:tab w:val="clear" w:pos="9360"/>
      </w:tabs>
      <w:spacing w:before="240" w:after="180"/>
      <w:outlineLvl w:val="0"/>
    </w:pPr>
    <w:rPr>
      <w:rFonts w:ascii="Arial" w:eastAsia="Arial" w:hAnsi="Arial" w:cstheme="majorBidi"/>
      <w:noProof/>
      <w:sz w:val="36"/>
      <w:lang w:val="en-GB"/>
    </w:rPr>
  </w:style>
  <w:style w:type="paragraph" w:styleId="Heading2">
    <w:name w:val="heading 2"/>
    <w:aliases w:val="H2,h2,DO NOT USE_h2,h21,Heading 2 3GPP"/>
    <w:basedOn w:val="Heading1"/>
    <w:next w:val="Normal"/>
    <w:link w:val="Heading2Char"/>
    <w:qFormat/>
    <w:rsid w:val="00017FC6"/>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17FC6"/>
    <w:pPr>
      <w:numPr>
        <w:ilvl w:val="2"/>
      </w:numPr>
      <w:spacing w:before="120"/>
      <w:outlineLvl w:val="2"/>
    </w:pPr>
    <w:rPr>
      <w:rFonts w:cs="Times New Roman"/>
      <w:sz w:val="28"/>
    </w:rPr>
  </w:style>
  <w:style w:type="paragraph" w:styleId="Heading4">
    <w:name w:val="heading 4"/>
    <w:basedOn w:val="Heading3"/>
    <w:next w:val="Normal"/>
    <w:link w:val="Heading4Char"/>
    <w:autoRedefine/>
    <w:uiPriority w:val="9"/>
    <w:unhideWhenUsed/>
    <w:qFormat/>
    <w:rsid w:val="00070265"/>
    <w:pPr>
      <w:numPr>
        <w:ilvl w:val="3"/>
      </w:numPr>
      <w:spacing w:before="40" w:after="120"/>
      <w:ind w:left="1299" w:hanging="1225"/>
      <w:outlineLvl w:val="3"/>
    </w:pPr>
    <w:rPr>
      <w:rFonts w:ascii="Times New Roman" w:eastAsiaTheme="majorEastAsia" w:hAnsi="Times New Roman" w:cstheme="majorBidi"/>
      <w:iCs/>
      <w:sz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017FC6"/>
    <w:rPr>
      <w:rFonts w:ascii="Arial" w:eastAsia="Arial" w:hAnsi="Arial" w:cstheme="majorBidi"/>
      <w:noProof/>
      <w:sz w:val="36"/>
      <w:szCs w:val="20"/>
      <w:lang w:val="en-GB" w:eastAsia="en-US"/>
    </w:rPr>
  </w:style>
  <w:style w:type="character" w:customStyle="1" w:styleId="Heading2Char">
    <w:name w:val="Heading 2 Char"/>
    <w:aliases w:val="H2 Char,h2 Char,DO NOT USE_h2 Char,h21 Char,Heading 2 3GPP Char"/>
    <w:basedOn w:val="DefaultParagraphFont"/>
    <w:link w:val="Heading2"/>
    <w:rsid w:val="00017FC6"/>
    <w:rPr>
      <w:rFonts w:ascii="Arial" w:eastAsia="Arial" w:hAnsi="Arial" w:cstheme="majorBidi"/>
      <w:noProof/>
      <w:sz w:val="32"/>
      <w:szCs w:val="20"/>
      <w:lang w:val="en-GB" w:eastAsia="en-US"/>
    </w:rPr>
  </w:style>
  <w:style w:type="character" w:customStyle="1" w:styleId="Heading3Char">
    <w:name w:val="Heading 3 Char"/>
    <w:aliases w:val="Heading 3 3GPP Char"/>
    <w:basedOn w:val="DefaultParagraphFont"/>
    <w:link w:val="Heading3"/>
    <w:rsid w:val="00017FC6"/>
    <w:rPr>
      <w:rFonts w:ascii="Arial" w:eastAsia="Arial" w:hAnsi="Arial" w:cs="Times New Roman"/>
      <w:noProof/>
      <w:sz w:val="28"/>
      <w:szCs w:val="20"/>
      <w:lang w:val="en-GB" w:eastAsia="en-US"/>
    </w:rPr>
  </w:style>
  <w:style w:type="paragraph" w:customStyle="1" w:styleId="3GPPHeader">
    <w:name w:val="3GPP_Header"/>
    <w:basedOn w:val="Normal"/>
    <w:rsid w:val="00017FC6"/>
    <w:pPr>
      <w:tabs>
        <w:tab w:val="left" w:pos="1701"/>
        <w:tab w:val="right" w:pos="9639"/>
      </w:tabs>
      <w:spacing w:after="240"/>
    </w:pPr>
    <w:rPr>
      <w:rFonts w:ascii="Arial" w:eastAsia="Times New Roman" w:hAnsi="Arial"/>
      <w:b/>
      <w:sz w:val="24"/>
      <w:lang w:eastAsia="zh-CN"/>
    </w:rPr>
  </w:style>
  <w:style w:type="paragraph" w:styleId="ListParagraph">
    <w:name w:val="List Paragraph"/>
    <w:aliases w:val="- Bullets,목록 단락,リスト段落,?? ??,?????,????,Lista1,列出段落,列出段落1,中等深浅网格 1 - 着色 21,列表段落,¥¡¡¡¡ì¬º¥¹¥È¶ÎÂä,ÁÐ³ö¶ÎÂä,列表段落1,—ño’i—Ž,¥ê¥¹¥È¶ÎÂä"/>
    <w:basedOn w:val="Normal"/>
    <w:link w:val="ListParagraphChar"/>
    <w:uiPriority w:val="34"/>
    <w:qFormat/>
    <w:rsid w:val="00017FC6"/>
    <w:pPr>
      <w:overflowPunct/>
      <w:autoSpaceDE/>
      <w:autoSpaceDN/>
      <w:adjustRightInd/>
      <w:spacing w:after="200" w:line="276" w:lineRule="auto"/>
      <w:ind w:left="720"/>
      <w:contextualSpacing/>
      <w:textAlignment w:val="auto"/>
    </w:pPr>
    <w:rPr>
      <w:rFonts w:ascii="Calibri" w:eastAsia="Calibri" w:hAnsi="Calibri"/>
      <w:sz w:val="22"/>
      <w:szCs w:val="22"/>
    </w:rPr>
  </w:style>
  <w:style w:type="table" w:styleId="TableGrid">
    <w:name w:val="Table Grid"/>
    <w:basedOn w:val="TableNormal"/>
    <w:uiPriority w:val="39"/>
    <w:rsid w:val="00017FC6"/>
    <w:pPr>
      <w:spacing w:after="0" w:line="240" w:lineRule="auto"/>
    </w:pPr>
    <w:rPr>
      <w:rFonts w:ascii="CG Times (WN)" w:eastAsia="Calibri" w:hAnsi="CG Times (W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
    <w:link w:val="ListParagraph"/>
    <w:uiPriority w:val="34"/>
    <w:qFormat/>
    <w:locked/>
    <w:rsid w:val="00017FC6"/>
    <w:rPr>
      <w:rFonts w:ascii="Calibri" w:eastAsia="Calibri" w:hAnsi="Calibri" w:cs="Times New Roman"/>
      <w:lang w:eastAsia="en-US"/>
    </w:rPr>
  </w:style>
  <w:style w:type="paragraph" w:customStyle="1" w:styleId="ListParagraph3">
    <w:name w:val="List Paragraph3"/>
    <w:basedOn w:val="Normal"/>
    <w:qFormat/>
    <w:rsid w:val="00017FC6"/>
    <w:pPr>
      <w:overflowPunct/>
      <w:autoSpaceDE/>
      <w:autoSpaceDN/>
      <w:adjustRightInd/>
      <w:spacing w:before="100" w:beforeAutospacing="1" w:line="259" w:lineRule="auto"/>
      <w:ind w:left="720"/>
      <w:contextualSpacing/>
      <w:textAlignment w:val="auto"/>
    </w:pPr>
    <w:rPr>
      <w:sz w:val="24"/>
      <w:szCs w:val="24"/>
      <w:lang w:eastAsia="zh-CN"/>
    </w:rPr>
  </w:style>
  <w:style w:type="paragraph" w:styleId="Header">
    <w:name w:val="header"/>
    <w:basedOn w:val="Normal"/>
    <w:link w:val="HeaderChar"/>
    <w:uiPriority w:val="99"/>
    <w:unhideWhenUsed/>
    <w:rsid w:val="00017FC6"/>
    <w:pPr>
      <w:tabs>
        <w:tab w:val="center" w:pos="4680"/>
        <w:tab w:val="right" w:pos="9360"/>
      </w:tabs>
      <w:spacing w:after="0"/>
    </w:pPr>
  </w:style>
  <w:style w:type="character" w:customStyle="1" w:styleId="HeaderChar">
    <w:name w:val="Header Char"/>
    <w:basedOn w:val="DefaultParagraphFont"/>
    <w:link w:val="Header"/>
    <w:uiPriority w:val="99"/>
    <w:rsid w:val="00017FC6"/>
    <w:rPr>
      <w:rFonts w:ascii="Times New Roman" w:eastAsia="SimSun" w:hAnsi="Times New Roman" w:cs="Times New Roman"/>
      <w:sz w:val="20"/>
      <w:szCs w:val="20"/>
      <w:lang w:eastAsia="en-US"/>
    </w:rPr>
  </w:style>
  <w:style w:type="character" w:customStyle="1" w:styleId="maintextChar">
    <w:name w:val="main text Char"/>
    <w:link w:val="maintext"/>
    <w:qFormat/>
    <w:locked/>
    <w:rsid w:val="00025E78"/>
    <w:rPr>
      <w:rFonts w:eastAsia="Malgun Gothic" w:cs="Batang"/>
      <w:lang w:eastAsia="ko-KR"/>
    </w:rPr>
  </w:style>
  <w:style w:type="paragraph" w:customStyle="1" w:styleId="maintext">
    <w:name w:val="main text"/>
    <w:basedOn w:val="Normal"/>
    <w:link w:val="maintextChar"/>
    <w:qFormat/>
    <w:rsid w:val="00025E78"/>
    <w:pPr>
      <w:overflowPunct/>
      <w:autoSpaceDE/>
      <w:autoSpaceDN/>
      <w:adjustRightInd/>
      <w:spacing w:before="60" w:after="60" w:line="288" w:lineRule="auto"/>
      <w:ind w:firstLineChars="200" w:firstLine="200"/>
      <w:jc w:val="both"/>
      <w:textAlignment w:val="auto"/>
    </w:pPr>
    <w:rPr>
      <w:rFonts w:asciiTheme="minorHAnsi" w:eastAsia="Malgun Gothic" w:hAnsiTheme="minorHAnsi" w:cs="Batang"/>
      <w:sz w:val="22"/>
      <w:szCs w:val="22"/>
      <w:lang w:eastAsia="ko-KR"/>
    </w:rPr>
  </w:style>
  <w:style w:type="paragraph" w:customStyle="1" w:styleId="NO">
    <w:name w:val="NO"/>
    <w:basedOn w:val="Normal"/>
    <w:link w:val="NOChar"/>
    <w:rsid w:val="00B65220"/>
    <w:pPr>
      <w:keepLines/>
      <w:ind w:left="1135" w:hanging="851"/>
    </w:pPr>
    <w:rPr>
      <w:rFonts w:eastAsia="Times New Roman"/>
      <w:lang w:val="en-GB" w:eastAsia="en-GB"/>
    </w:rPr>
  </w:style>
  <w:style w:type="paragraph" w:customStyle="1" w:styleId="B1">
    <w:name w:val="B1"/>
    <w:basedOn w:val="List"/>
    <w:link w:val="B1Char1"/>
    <w:rsid w:val="00B65220"/>
    <w:pPr>
      <w:ind w:left="568" w:hanging="284"/>
      <w:contextualSpacing w:val="0"/>
    </w:pPr>
    <w:rPr>
      <w:rFonts w:eastAsia="Times New Roman"/>
      <w:lang w:val="en-GB" w:eastAsia="en-GB"/>
    </w:rPr>
  </w:style>
  <w:style w:type="character" w:customStyle="1" w:styleId="B1Char1">
    <w:name w:val="B1 Char1"/>
    <w:link w:val="B1"/>
    <w:rsid w:val="00B65220"/>
    <w:rPr>
      <w:rFonts w:ascii="Times New Roman" w:eastAsia="Times New Roman" w:hAnsi="Times New Roman" w:cs="Times New Roman"/>
      <w:sz w:val="20"/>
      <w:szCs w:val="20"/>
      <w:lang w:val="en-GB" w:eastAsia="en-GB"/>
    </w:rPr>
  </w:style>
  <w:style w:type="character" w:customStyle="1" w:styleId="NOChar">
    <w:name w:val="NO Char"/>
    <w:link w:val="NO"/>
    <w:rsid w:val="00B65220"/>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B65220"/>
    <w:pPr>
      <w:ind w:left="360" w:hanging="360"/>
      <w:contextualSpacing/>
    </w:pPr>
  </w:style>
  <w:style w:type="character" w:styleId="CommentReference">
    <w:name w:val="annotation reference"/>
    <w:basedOn w:val="DefaultParagraphFont"/>
    <w:uiPriority w:val="99"/>
    <w:semiHidden/>
    <w:unhideWhenUsed/>
    <w:rsid w:val="0002231B"/>
    <w:rPr>
      <w:sz w:val="16"/>
      <w:szCs w:val="16"/>
    </w:rPr>
  </w:style>
  <w:style w:type="paragraph" w:styleId="CommentText">
    <w:name w:val="annotation text"/>
    <w:basedOn w:val="Normal"/>
    <w:link w:val="CommentTextChar"/>
    <w:uiPriority w:val="99"/>
    <w:semiHidden/>
    <w:unhideWhenUsed/>
    <w:rsid w:val="0002231B"/>
  </w:style>
  <w:style w:type="character" w:customStyle="1" w:styleId="CommentTextChar">
    <w:name w:val="Comment Text Char"/>
    <w:basedOn w:val="DefaultParagraphFont"/>
    <w:link w:val="CommentText"/>
    <w:uiPriority w:val="99"/>
    <w:semiHidden/>
    <w:rsid w:val="0002231B"/>
    <w:rPr>
      <w:rFonts w:ascii="Times New Roman" w:eastAsia="SimSu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02231B"/>
    <w:rPr>
      <w:b/>
      <w:bCs/>
    </w:rPr>
  </w:style>
  <w:style w:type="character" w:customStyle="1" w:styleId="CommentSubjectChar">
    <w:name w:val="Comment Subject Char"/>
    <w:basedOn w:val="CommentTextChar"/>
    <w:link w:val="CommentSubject"/>
    <w:uiPriority w:val="99"/>
    <w:semiHidden/>
    <w:rsid w:val="0002231B"/>
    <w:rPr>
      <w:rFonts w:ascii="Times New Roman" w:eastAsia="SimSun" w:hAnsi="Times New Roman" w:cs="Times New Roman"/>
      <w:b/>
      <w:bCs/>
      <w:sz w:val="20"/>
      <w:szCs w:val="20"/>
      <w:lang w:eastAsia="en-US"/>
    </w:rPr>
  </w:style>
  <w:style w:type="character" w:customStyle="1" w:styleId="fontstyle01">
    <w:name w:val="fontstyle01"/>
    <w:basedOn w:val="DefaultParagraphFont"/>
    <w:rsid w:val="00315F5E"/>
    <w:rPr>
      <w:rFonts w:ascii="MnSymbol10" w:hAnsi="MnSymbol10" w:hint="default"/>
      <w:b w:val="0"/>
      <w:bCs w:val="0"/>
      <w:i w:val="0"/>
      <w:iCs w:val="0"/>
      <w:color w:val="000000"/>
      <w:sz w:val="22"/>
      <w:szCs w:val="22"/>
    </w:rPr>
  </w:style>
  <w:style w:type="character" w:customStyle="1" w:styleId="fontstyle21">
    <w:name w:val="fontstyle21"/>
    <w:basedOn w:val="DefaultParagraphFont"/>
    <w:rsid w:val="00315F5E"/>
    <w:rPr>
      <w:rFonts w:ascii="TimesNewRomanPSMT" w:hAnsi="TimesNewRomanPSMT" w:hint="default"/>
      <w:b w:val="0"/>
      <w:bCs w:val="0"/>
      <w:i w:val="0"/>
      <w:iCs w:val="0"/>
      <w:color w:val="000000"/>
      <w:sz w:val="22"/>
      <w:szCs w:val="22"/>
    </w:rPr>
  </w:style>
  <w:style w:type="paragraph" w:styleId="Footer">
    <w:name w:val="footer"/>
    <w:basedOn w:val="Normal"/>
    <w:link w:val="FooterChar"/>
    <w:uiPriority w:val="99"/>
    <w:unhideWhenUsed/>
    <w:rsid w:val="00094E6A"/>
    <w:pPr>
      <w:tabs>
        <w:tab w:val="center" w:pos="4680"/>
        <w:tab w:val="right" w:pos="9360"/>
      </w:tabs>
      <w:spacing w:after="0"/>
    </w:pPr>
  </w:style>
  <w:style w:type="character" w:customStyle="1" w:styleId="FooterChar">
    <w:name w:val="Footer Char"/>
    <w:basedOn w:val="DefaultParagraphFont"/>
    <w:link w:val="Footer"/>
    <w:uiPriority w:val="99"/>
    <w:rsid w:val="00094E6A"/>
    <w:rPr>
      <w:rFonts w:ascii="Times New Roman" w:eastAsia="SimSun" w:hAnsi="Times New Roman" w:cs="Times New Roman"/>
      <w:sz w:val="20"/>
      <w:szCs w:val="20"/>
      <w:lang w:eastAsia="en-US"/>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E32507"/>
    <w:pPr>
      <w:spacing w:after="200"/>
    </w:pPr>
    <w:rPr>
      <w:i/>
      <w:iCs/>
      <w:color w:val="44546A" w:themeColor="text2"/>
      <w:sz w:val="18"/>
      <w:szCs w:val="18"/>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B85CBB"/>
    <w:rPr>
      <w:rFonts w:ascii="Times New Roman" w:eastAsia="SimSun" w:hAnsi="Times New Roman" w:cs="Times New Roman"/>
      <w:i/>
      <w:iCs/>
      <w:color w:val="44546A" w:themeColor="text2"/>
      <w:sz w:val="18"/>
      <w:szCs w:val="18"/>
      <w:lang w:eastAsia="en-US"/>
    </w:rPr>
  </w:style>
  <w:style w:type="character" w:customStyle="1" w:styleId="Heading4Char">
    <w:name w:val="Heading 4 Char"/>
    <w:basedOn w:val="DefaultParagraphFont"/>
    <w:link w:val="Heading4"/>
    <w:uiPriority w:val="9"/>
    <w:rsid w:val="00070265"/>
    <w:rPr>
      <w:rFonts w:ascii="Times New Roman" w:eastAsiaTheme="majorEastAsia" w:hAnsi="Times New Roman" w:cstheme="majorBidi"/>
      <w:iCs/>
      <w:noProof/>
      <w:sz w:val="24"/>
      <w:szCs w:val="20"/>
      <w:lang w:val="en-GB"/>
    </w:rPr>
  </w:style>
  <w:style w:type="character" w:styleId="Hyperlink">
    <w:name w:val="Hyperlink"/>
    <w:basedOn w:val="DefaultParagraphFont"/>
    <w:uiPriority w:val="99"/>
    <w:semiHidden/>
    <w:unhideWhenUsed/>
    <w:rsid w:val="00016354"/>
    <w:rPr>
      <w:color w:val="0000FF"/>
      <w:u w:val="single"/>
    </w:rPr>
  </w:style>
  <w:style w:type="paragraph" w:customStyle="1" w:styleId="Obs-prop">
    <w:name w:val="Obs-prop"/>
    <w:basedOn w:val="Normal"/>
    <w:next w:val="Normal"/>
    <w:qFormat/>
    <w:rsid w:val="00BB7401"/>
    <w:pPr>
      <w:overflowPunct/>
      <w:autoSpaceDE/>
      <w:autoSpaceDN/>
      <w:adjustRightInd/>
      <w:spacing w:after="160"/>
      <w:textAlignment w:val="auto"/>
    </w:pPr>
    <w:rPr>
      <w:rFonts w:eastAsiaTheme="minorHAnsi" w:cstheme="minorBidi"/>
      <w:b/>
      <w:bCs/>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9080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80530660-24fd-4391-a7a1-d653900fee43">
      <UserInfo>
        <DisplayName>Li, Ziyi</DisplayName>
        <AccountId>51</AccountId>
        <AccountType/>
      </UserInfo>
      <UserInfo>
        <DisplayName>Heo, Youn Hyoung</DisplayName>
        <AccountId>15</AccountId>
        <AccountType/>
      </UserInfo>
      <UserInfo>
        <DisplayName>Palat, Sudeep K</DisplayName>
        <AccountId>18</AccountId>
        <AccountType/>
      </UserInfo>
      <UserInfo>
        <DisplayName>Han, Jaemin</DisplayName>
        <AccountId>52</AccountId>
        <AccountType/>
      </UserInfo>
      <UserInfo>
        <DisplayName>Burbidge, Richard C</DisplayName>
        <AccountId>7</AccountId>
        <AccountType/>
      </UserInfo>
      <UserInfo>
        <DisplayName>Han, Seunghee</DisplayName>
        <AccountId>12</AccountId>
        <AccountType/>
      </UserInfo>
      <UserInfo>
        <DisplayName>Shi, Xiaoyan</DisplayName>
        <AccountId>123</AccountId>
        <AccountType/>
      </UserInfo>
      <UserInfo>
        <DisplayName>Stojanovski, Saso</DisplayName>
        <AccountId>81</AccountId>
        <AccountType/>
      </UserInfo>
      <UserInfo>
        <DisplayName>Jain, Puneet</DisplayName>
        <AccountId>47</AccountId>
        <AccountType/>
      </UserInfo>
    </SharedWithUsers>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8AB8E7-A1A2-43C7-8D4B-A8030B60F8C9}">
  <ds:schemaRefs>
    <ds:schemaRef ds:uri="http://schemas.openxmlformats.org/officeDocument/2006/bibliography"/>
  </ds:schemaRefs>
</ds:datastoreItem>
</file>

<file path=customXml/itemProps2.xml><?xml version="1.0" encoding="utf-8"?>
<ds:datastoreItem xmlns:ds="http://schemas.openxmlformats.org/officeDocument/2006/customXml" ds:itemID="{10A33902-14B9-4C4B-B581-164D988D44BB}">
  <ds:schemaRefs>
    <ds:schemaRef ds:uri="http://schemas.microsoft.com/office/2006/metadata/properties"/>
    <ds:schemaRef ds:uri="http://schemas.openxmlformats.org/package/2006/metadata/core-properties"/>
    <ds:schemaRef ds:uri="http://www.w3.org/XML/1998/namespace"/>
    <ds:schemaRef ds:uri="http://purl.org/dc/elements/1.1/"/>
    <ds:schemaRef ds:uri="http://schemas.microsoft.com/office/2006/documentManagement/types"/>
    <ds:schemaRef ds:uri="http://purl.org/dc/dcmitype/"/>
    <ds:schemaRef ds:uri="http://purl.org/dc/terms/"/>
    <ds:schemaRef ds:uri="042397af-7977-45ef-9118-11c18c8623b6"/>
    <ds:schemaRef ds:uri="http://schemas.microsoft.com/office/infopath/2007/PartnerControls"/>
    <ds:schemaRef ds:uri="80530660-24fd-4391-a7a1-d653900fee43"/>
  </ds:schemaRefs>
</ds:datastoreItem>
</file>

<file path=customXml/itemProps3.xml><?xml version="1.0" encoding="utf-8"?>
<ds:datastoreItem xmlns:ds="http://schemas.openxmlformats.org/officeDocument/2006/customXml" ds:itemID="{9FA82241-9495-4AED-8FAA-E7E833459913}">
  <ds:schemaRefs>
    <ds:schemaRef ds:uri="http://schemas.microsoft.com/sharepoint/v3/contenttype/forms"/>
  </ds:schemaRefs>
</ds:datastoreItem>
</file>

<file path=customXml/itemProps4.xml><?xml version="1.0" encoding="utf-8"?>
<ds:datastoreItem xmlns:ds="http://schemas.openxmlformats.org/officeDocument/2006/customXml" ds:itemID="{8659BBDF-4535-437E-9BAA-229DEED0CF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2052</TotalTime>
  <Pages>11</Pages>
  <Words>3502</Words>
  <Characters>19965</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Intel-Ziyi</dc:creator>
  <cp:keywords/>
  <dc:description/>
  <cp:lastModifiedBy>Intel (Sudeep)-3</cp:lastModifiedBy>
  <cp:revision>50</cp:revision>
  <dcterms:created xsi:type="dcterms:W3CDTF">2022-07-29T00:42:00Z</dcterms:created>
  <dcterms:modified xsi:type="dcterms:W3CDTF">2022-08-08T22:33:00Z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ies>
</file>